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FY2026-27 Budget Process Memo</w:t>
      </w:r>
    </w:p>
    <w:p>
      <w:pPr>
        <w:spacing w:after="220"/>
      </w:pPr>
      <w:r>
        <w:rPr>
          <w:i/>
          <w:iCs/>
          <w:color w:val="595959"/>
          <w:sz w:val="18"/>
          <w:szCs w:val="18"/>
        </w:rPr>
        <w:t xml:space="preserve">Downtown Los Angeles Neighborhood Council  |  Prepared by Payas Parab, Treasurer  |  July 2026</w:t>
      </w:r>
    </w:p>
    <w:p>
      <w:pPr>
        <w:pStyle w:val="Heading2"/>
      </w:pPr>
      <w:r>
        <w:t xml:space="preserve">1. Budget Process &amp; Rollover Funds</w:t>
      </w:r>
    </w:p>
    <w:p>
      <w:pPr>
        <w:spacing w:after="140"/>
      </w:pPr>
      <w:r>
        <w:rPr>
          <w:sz w:val="19"/>
          <w:szCs w:val="19"/>
        </w:rPr>
        <w:t xml:space="preserve">Each fiscal year, the City Clerk NC Funding Program requires an Admin Packet: signed Financial Officer and Bank Cardholder agreements, plus a completed Annual Budget. The budget is made up of a base allocation ($25,000 for FY2026-27) plus any rollover of unspent funds from the prior year. The City Clerk does not confirm the exact rollover amount until approximately August 1.</w:t>
      </w:r>
    </w:p>
    <w:p>
      <w:pPr>
        <w:spacing w:after="140"/>
      </w:pPr>
      <w:r>
        <w:rPr>
          <w:sz w:val="19"/>
          <w:szCs w:val="19"/>
        </w:rPr>
        <w:t xml:space="preserve">Until an Admin Packet is accepted, NC funding access is capped at $333/month. Because the rollover isn’t confirmed yet, we are filing two packets: Packet #1 (July 2026, base budget only) and Packet #2 (September 2026, once the rollover is confirmed and added in).</w:t>
      </w:r>
    </w:p>
    <w:p>
      <w:pPr>
        <w:pStyle w:val="Heading2"/>
      </w:pPr>
      <w:r>
        <w:t xml:space="preserve">2. Spending to Date &amp; Full-Year Forecast</w:t>
      </w:r>
    </w:p>
    <w:p>
      <w:pPr>
        <w:spacing w:after="140"/>
      </w:pPr>
      <w:r>
        <w:rPr>
          <w:sz w:val="19"/>
          <w:szCs w:val="19"/>
        </w:rPr>
        <w:t xml:space="preserve">Over the last 4 fiscal years (2022-23 through 2025-26), DLANC was authorized $174,820.28 in total budget and spent $103,858.22, leaving $73,412.06 net available. Historically, spending has broken down roughly as: Neighborhood Purpose Grants ~33%, Office/Operational ~27%, Outreach ~23%, Elections ~16%.</w:t>
      </w:r>
    </w:p>
    <w:p>
      <w:pPr>
        <w:spacing w:after="140"/>
      </w:pPr>
      <w:r>
        <w:rPr>
          <w:sz w:val="19"/>
          <w:szCs w:val="19"/>
        </w:rPr>
        <w:t xml:space="preserve">Full-year forecast once both packets are filed: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37"/>
        <w:gridCol w:w="1814"/>
        <w:gridCol w:w="1814"/>
        <w:gridCol w:w="1814"/>
      </w:tblGrid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Category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Packet #1 (Jul)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Packet #2 (Sep)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Full Year</w:t>
            </w:r>
          </w:p>
        </w:tc>
      </w:tr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Office/Operational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$11,300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—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$11,300</w:t>
            </w:r>
          </w:p>
        </w:tc>
      </w:tr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Outreach (incl. $8,000 Events)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$11,500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—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$11,500</w:t>
            </w:r>
          </w:p>
        </w:tc>
      </w:tr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Elections (deferred)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—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$9,000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$9,000</w:t>
            </w:r>
          </w:p>
        </w:tc>
      </w:tr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NPG (deferred)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—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$10,000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$10,000</w:t>
            </w:r>
          </w:p>
        </w:tc>
      </w:tr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CIP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—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$0</w:t>
            </w:r>
          </w:p>
        </w:tc>
      </w:tr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Total allocated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$22,800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$19,000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$41,800</w:t>
            </w:r>
          </w:p>
        </w:tc>
      </w:tr>
      <w:tr>
        <w:tc>
          <w:tcPr>
            <w:tcW w:type="dxa" w:w="46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Total available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$25,000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+$23,750 est.</w:t>
            </w:r>
          </w:p>
        </w:tc>
        <w:tc>
          <w:tcPr>
            <w:tcW w:type="dxa" w:w="181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17"/>
                <w:szCs w:val="17"/>
              </w:rPr>
              <w:t xml:space="preserve">$48,750</w:t>
            </w:r>
          </w:p>
        </w:tc>
      </w:tr>
    </w:tbl>
    <w:p>
      <w:pPr>
        <w:spacing w:after="0" w:before="140"/>
      </w:pPr>
      <w:r>
        <w:rPr>
          <w:i/>
          <w:iCs/>
          <w:color w:val="595959"/>
          <w:sz w:val="17"/>
          <w:szCs w:val="17"/>
        </w:rPr>
        <w:t xml:space="preserve">Packet #1 (July) allocates $22,800 of the $25,000 base, leaving a $2,200 buffer. Elections and NPG wait for Packet #2, which adds $19,000 once the rollover is confirmed.</w:t>
      </w:r>
    </w:p>
    <w:p>
      <w:pPr>
        <w:pStyle w:val="Heading2"/>
      </w:pPr>
      <w:r>
        <w:t xml:space="preserve">3. Elections Allocations</w:t>
      </w:r>
    </w:p>
    <w:p>
      <w:pPr>
        <w:spacing w:after="140"/>
      </w:pPr>
      <w:r>
        <w:rPr>
          <w:sz w:val="19"/>
          <w:szCs w:val="19"/>
        </w:rPr>
        <w:t xml:space="preserve">Historically, Elections spending has only occurred in odd fiscal years — FY2022-23 ($7,946.28) and FY2024-25 ($10,000.00) — consistent with a 2-year NC election cycle. FY2026-27 (spring 2027) is expected to include another cycle, so we’re reserving $9,000, the average of the two historical years.</w:t>
      </w:r>
    </w:p>
    <w:p>
      <w:pPr>
        <w:spacing w:after="140"/>
      </w:pPr>
      <w:r>
        <w:rPr>
          <w:sz w:val="19"/>
          <w:szCs w:val="19"/>
        </w:rPr>
        <w:t xml:space="preserve">Historically this money went toward: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Printing, signage &amp; graphic design (ballots, flyers, campaign signage) — ~$2,050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Election-day / poll worker temporary staffing support — ~$1,950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Candidate forum video &amp; media production — ~$5,000</w:t>
      </w:r>
    </w:p>
    <w:p>
      <w:pPr>
        <w:spacing w:after="140"/>
      </w:pPr>
      <w:r>
        <w:rPr>
          <w:sz w:val="19"/>
          <w:szCs w:val="19"/>
        </w:rPr>
        <w:t xml:space="preserve">Per direction, Elections is the category being deferred to Packet #2, not Outreach-Events — it can wait for the confirmed rollover since it isn’t needed immediately. Flag: if any election-prep costs come up before September, the board would need a separate interim motion, since this reserve is not part of Packet #1.</w:t>
      </w:r>
    </w:p>
    <w:p>
      <w:pPr>
        <w:pStyle w:val="Heading2"/>
      </w:pPr>
      <w:r>
        <w:t xml:space="preserve">4. Expenses We Could Amend or Cut if Needed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Google Workspace — the largest recurring cost (~$11,752 over 4 years, ~$4,662/yr recently). Zoho Workplace ($1–$6/user/mo vs. Google’s $7+/user/mo) is the most viable cheaper alternative; tradeoffs are a smaller app ecosystem and migration friction.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Extra Space Storage (~$2,400/yr in the FY26-27 plan) — worth shopping competing storage quotes annually, or downsizing the unit if inventory has been reduced.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IONOS/1&amp;1 domain &amp; hosting (~$460/yr) — Namecheap, Cloudflare, or Porkbun are generally cheaper long-term, though the dollar amount here is small.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Email tools (Sinch Mailgun + Sendinblue, combined ~$685/yr) — smallest recurring line; likely not worth the switching effort.</w:t>
      </w:r>
    </w:p>
    <w:p>
      <w:pPr>
        <w:pStyle w:val="Heading2"/>
      </w:pPr>
      <w:r>
        <w:t xml:space="preserve">5. Rollover Projects: Contractors Needing Re-Approval</w:t>
      </w:r>
    </w:p>
    <w:p>
      <w:pPr>
        <w:spacing w:after="140"/>
      </w:pPr>
      <w:r>
        <w:rPr>
          <w:sz w:val="19"/>
          <w:szCs w:val="19"/>
        </w:rPr>
        <w:t xml:space="preserve">NC Funding Program rules require every Outreach, Elections, NPG, and CIP vendor payment to go through a separate board motion each fiscal year — last year’s approval does not automatically carry into FY2026-27.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19"/>
          <w:szCs w:val="19"/>
        </w:rPr>
        <w:t xml:space="preserve">Insite Street Media — $1,000, Outreach, approved 1/28/2026 (FY2025-26). This is a street/social media marketing contractor whose engagement spans the fiscal year boundary; the board should pass a fresh FY2026-27 motion if this contract is continuing.</w:t>
      </w:r>
    </w:p>
    <w:p>
      <w:pPr>
        <w:spacing w:after="140"/>
      </w:pPr>
      <w:r>
        <w:rPr>
          <w:sz w:val="19"/>
          <w:szCs w:val="19"/>
        </w:rPr>
        <w:t xml:space="preserve">Recommend the Treasurer compile a short list of any other active vendor contracts spanning the fiscal year boundary (recurring Outreach/Elections vendors) so the board can re-authorize them at the same meeting as the budget vote — this avoids any contractor payment lapsing for lack of a valid motion.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0"/>
      <w:outlineLvl w:val="0"/>
    </w:pPr>
    <w:rPr>
      <w:rFonts w:ascii="Arial" w:cs="Arial" w:eastAsia="Arial" w:hAnsi="Arial"/>
      <w:b/>
      <w:bCs/>
      <w:color w:val="1F4E78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60"/>
      <w:outlineLvl w:val="1"/>
    </w:pPr>
    <w:rPr>
      <w:rFonts w:ascii="Arial" w:cs="Arial" w:eastAsia="Arial" w:hAnsi="Arial"/>
      <w:b/>
      <w:bCs/>
      <w:color w:val="1F4E7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2026-07-06T19:53:06.869Z</dcterms:created>
  <dcterms:modified xsi:type="dcterms:W3CDTF">2026-07-06T19:53:06.870Z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