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9C7B" w14:textId="09B319CA" w:rsidR="00885F8A" w:rsidRPr="003C3AD1" w:rsidRDefault="003C3AD1" w:rsidP="00885F8A">
      <w:pPr>
        <w:rPr>
          <w:b/>
          <w:i/>
          <w:iCs/>
        </w:rPr>
      </w:pPr>
      <w:r>
        <w:rPr>
          <w:b/>
        </w:rPr>
        <w:t>LASI Supplemental Q&amp;A from Livability Commitee</w:t>
      </w:r>
      <w:bookmarkStart w:id="0" w:name="_GoBack"/>
      <w:bookmarkEnd w:id="0"/>
    </w:p>
    <w:p w14:paraId="0A8E59F9" w14:textId="0E6A9ACC" w:rsidR="00885F8A" w:rsidRDefault="00885F8A" w:rsidP="00D87074">
      <w:pPr>
        <w:pStyle w:val="ListParagraph"/>
        <w:numPr>
          <w:ilvl w:val="0"/>
          <w:numId w:val="4"/>
        </w:numPr>
        <w:rPr>
          <w:i/>
          <w:iCs/>
        </w:rPr>
      </w:pPr>
      <w:r w:rsidRPr="00D87074">
        <w:rPr>
          <w:i/>
          <w:iCs/>
        </w:rPr>
        <w:t>What is the planned impact on parking and passenger loading along S Broadway?  We request that LASI present street configuration and elevation drawings that clarify passenger loading/unloading along each block of S Broadway from 2nd to 11th streets.</w:t>
      </w:r>
    </w:p>
    <w:p w14:paraId="5FC8B9ED" w14:textId="3DA3EFEE" w:rsidR="00B5169B" w:rsidRPr="008F2AC9" w:rsidRDefault="00D23498" w:rsidP="008F2AC9">
      <w:pPr>
        <w:pStyle w:val="ListParagraph"/>
        <w:numPr>
          <w:ilvl w:val="1"/>
          <w:numId w:val="4"/>
        </w:numPr>
        <w:rPr>
          <w:i/>
          <w:iCs/>
        </w:rPr>
      </w:pPr>
      <w:r>
        <w:t xml:space="preserve">The streetcar project was designed to complement the full build-out of the </w:t>
      </w:r>
      <w:r w:rsidR="00B5169B">
        <w:t xml:space="preserve">original </w:t>
      </w:r>
      <w:r>
        <w:t xml:space="preserve">Broadway Streetscape </w:t>
      </w:r>
      <w:r w:rsidR="0066528C">
        <w:t>Master Plan and the current configuration including the loading and parking zones created by the Broadway Streetscape “dress rehearsal” around 2013</w:t>
      </w:r>
      <w:r>
        <w:t xml:space="preserve">. The Streetcar </w:t>
      </w:r>
      <w:r w:rsidR="00B5169B">
        <w:t>tracks</w:t>
      </w:r>
      <w:r>
        <w:t xml:space="preserve"> run in the </w:t>
      </w:r>
      <w:r w:rsidR="0066528C">
        <w:t>current</w:t>
      </w:r>
      <w:r>
        <w:t xml:space="preserve"> southbound lane of traffic and do not impact curb-side uses (parking or loading).</w:t>
      </w:r>
      <w:r w:rsidR="00B5169B">
        <w:t xml:space="preserve"> Streetcar stops are located within sidewalk “bulb-outs” (1 per block and about the length of 3 parking spaces). According to the original design, the streetcar project impacts zero (0) parking spaces or loading zones, but the actual implementation of Broadway Streetscape has varied somewhat from the original Master Plan and the</w:t>
      </w:r>
      <w:r w:rsidR="008C063D">
        <w:t xml:space="preserve"> current</w:t>
      </w:r>
      <w:r w:rsidR="00B5169B">
        <w:t xml:space="preserve"> streetcar design will need to be updated.</w:t>
      </w:r>
    </w:p>
    <w:p w14:paraId="55385760" w14:textId="77777777" w:rsidR="008F2AC9" w:rsidRPr="008F2AC9" w:rsidRDefault="008F2AC9" w:rsidP="008F2AC9">
      <w:pPr>
        <w:pStyle w:val="ListParagraph"/>
        <w:ind w:left="1440"/>
        <w:rPr>
          <w:i/>
          <w:iCs/>
        </w:rPr>
      </w:pPr>
    </w:p>
    <w:p w14:paraId="79E9D115" w14:textId="5122FB2F" w:rsidR="00D87074" w:rsidRPr="00D87074" w:rsidRDefault="00885F8A" w:rsidP="00D87074">
      <w:pPr>
        <w:pStyle w:val="ListParagraph"/>
        <w:numPr>
          <w:ilvl w:val="0"/>
          <w:numId w:val="4"/>
        </w:numPr>
        <w:rPr>
          <w:i/>
          <w:iCs/>
        </w:rPr>
      </w:pPr>
      <w:r w:rsidRPr="00D87074">
        <w:rPr>
          <w:i/>
          <w:iCs/>
        </w:rPr>
        <w:t>How will the project impact infrastructure beneath S Broadway? We request that LASI present its plans to address legacy communication, power, and associated infrastructure beneath the S Broadway surface street from 1st to 11th street.</w:t>
      </w:r>
    </w:p>
    <w:p w14:paraId="0AABB704" w14:textId="7A6E9916" w:rsidR="00D87074" w:rsidRPr="00D87074" w:rsidRDefault="007D3436" w:rsidP="00D87074">
      <w:pPr>
        <w:pStyle w:val="ListParagraph"/>
        <w:numPr>
          <w:ilvl w:val="1"/>
          <w:numId w:val="4"/>
        </w:numPr>
        <w:rPr>
          <w:i/>
          <w:iCs/>
        </w:rPr>
      </w:pPr>
      <w:r>
        <w:t xml:space="preserve">Gas, </w:t>
      </w:r>
      <w:r w:rsidR="00160327">
        <w:t>w</w:t>
      </w:r>
      <w:r>
        <w:t xml:space="preserve">ater, </w:t>
      </w:r>
      <w:r w:rsidR="00160327">
        <w:t>p</w:t>
      </w:r>
      <w:r>
        <w:t xml:space="preserve">ower, </w:t>
      </w:r>
      <w:r w:rsidR="00160327">
        <w:t xml:space="preserve">sewer, </w:t>
      </w:r>
      <w:r>
        <w:t xml:space="preserve">and </w:t>
      </w:r>
      <w:r w:rsidR="00160327">
        <w:t>t</w:t>
      </w:r>
      <w:r>
        <w:t>elecommunications relocations are expected on Broadway</w:t>
      </w:r>
      <w:r w:rsidR="00160327">
        <w:t xml:space="preserve"> and elsewhere along the alignment</w:t>
      </w:r>
      <w:r>
        <w:t xml:space="preserve">. </w:t>
      </w:r>
      <w:r w:rsidR="00160327">
        <w:t xml:space="preserve">What this means typically is that there would be work to construct a new utility line and/or vaults/access holes in a clear area in advance of streetcar track construction and the old utility would be abandoned or removed. Utilities are only moved if there is an access issue or physical conflict with the rails or if it is a parallel “wet” utility (water, sewer, or gas) under the tracks. Utility work will occur primarily in the street but also in some sidewalk areas. </w:t>
      </w:r>
      <w:r w:rsidR="004719F1">
        <w:t xml:space="preserve">Most lines are being relocated approximately from the existing southbound traffic lane to the centermost northbound traffic lane. </w:t>
      </w:r>
      <w:r w:rsidR="00B5169B">
        <w:t xml:space="preserve">This can be an opportunity to upgrade and/or expand the capacity of existing utility infrastructure and all relocated utilities are installed to current standards. </w:t>
      </w:r>
    </w:p>
    <w:p w14:paraId="787DD53E" w14:textId="77777777" w:rsidR="00D87074" w:rsidRPr="00D87074" w:rsidRDefault="00160327" w:rsidP="00D87074">
      <w:pPr>
        <w:pStyle w:val="ListParagraph"/>
        <w:numPr>
          <w:ilvl w:val="1"/>
          <w:numId w:val="4"/>
        </w:numPr>
        <w:rPr>
          <w:i/>
          <w:iCs/>
        </w:rPr>
      </w:pPr>
      <w:r>
        <w:t xml:space="preserve">Additional utility mapping and local outreach will be performed before construction to verify conflicts and minimize the amount of unexpected work in the street. </w:t>
      </w:r>
    </w:p>
    <w:p w14:paraId="66BE654A" w14:textId="6A1E7691" w:rsidR="004719F1" w:rsidRPr="00776854" w:rsidRDefault="00776854" w:rsidP="00D87074">
      <w:pPr>
        <w:pStyle w:val="ListParagraph"/>
        <w:numPr>
          <w:ilvl w:val="1"/>
          <w:numId w:val="4"/>
        </w:numPr>
        <w:rPr>
          <w:i/>
          <w:iCs/>
        </w:rPr>
      </w:pPr>
      <w:r>
        <w:t>Also,</w:t>
      </w:r>
      <w:r w:rsidR="004719F1">
        <w:t xml:space="preserve"> potential impacts within sidewalk areas along Broadway will be minimized by eliminating the “overhead contact system” or wire and poles that power the streetcar. Instead, the streetcar may be powered by on-board batteries on Broadway and potentially other areas of downtown. </w:t>
      </w:r>
    </w:p>
    <w:p w14:paraId="78F3ADFA" w14:textId="38F10A3D" w:rsidR="00A707AC" w:rsidRPr="008F2AC9" w:rsidRDefault="00776854" w:rsidP="008F2AC9">
      <w:pPr>
        <w:pStyle w:val="ListParagraph"/>
        <w:numPr>
          <w:ilvl w:val="1"/>
          <w:numId w:val="4"/>
        </w:numPr>
        <w:rPr>
          <w:i/>
          <w:iCs/>
        </w:rPr>
      </w:pPr>
      <w:r>
        <w:t xml:space="preserve">The project is also using a special contracting method called “CM/GC” that </w:t>
      </w:r>
      <w:r w:rsidR="008C063D">
        <w:t>fosters</w:t>
      </w:r>
      <w:r>
        <w:t xml:space="preserve"> </w:t>
      </w:r>
      <w:r w:rsidR="008C063D">
        <w:t>extensive communication and</w:t>
      </w:r>
      <w:r>
        <w:t xml:space="preserve"> collaboration between the community, the designer, and the contractor early and often. </w:t>
      </w:r>
    </w:p>
    <w:p w14:paraId="565D48A1" w14:textId="7687446D" w:rsidR="004719F1" w:rsidRDefault="00A707AC" w:rsidP="00A707AC">
      <w:r>
        <w:t xml:space="preserve">This is a table of currently anticipated utility relocations on Broadway: </w:t>
      </w:r>
    </w:p>
    <w:tbl>
      <w:tblPr>
        <w:tblStyle w:val="TableGrid"/>
        <w:tblW w:w="0" w:type="auto"/>
        <w:tblLook w:val="04A0" w:firstRow="1" w:lastRow="0" w:firstColumn="1" w:lastColumn="0" w:noHBand="0" w:noVBand="1"/>
      </w:tblPr>
      <w:tblGrid>
        <w:gridCol w:w="1967"/>
        <w:gridCol w:w="957"/>
        <w:gridCol w:w="936"/>
        <w:gridCol w:w="1020"/>
        <w:gridCol w:w="1020"/>
        <w:gridCol w:w="1020"/>
      </w:tblGrid>
      <w:tr w:rsidR="004719F1" w:rsidRPr="004719F1" w14:paraId="7DD3065C" w14:textId="77777777" w:rsidTr="004719F1">
        <w:trPr>
          <w:trHeight w:val="285"/>
        </w:trPr>
        <w:tc>
          <w:tcPr>
            <w:tcW w:w="3860" w:type="dxa"/>
            <w:gridSpan w:val="3"/>
            <w:noWrap/>
            <w:hideMark/>
          </w:tcPr>
          <w:p w14:paraId="3396D58E" w14:textId="77777777" w:rsidR="004719F1" w:rsidRPr="004719F1" w:rsidRDefault="004719F1">
            <w:r w:rsidRPr="004719F1">
              <w:t>Utility Relocations on Broadway</w:t>
            </w:r>
          </w:p>
        </w:tc>
        <w:tc>
          <w:tcPr>
            <w:tcW w:w="1020" w:type="dxa"/>
            <w:noWrap/>
            <w:hideMark/>
          </w:tcPr>
          <w:p w14:paraId="3C8B7324" w14:textId="77777777" w:rsidR="004719F1" w:rsidRPr="004719F1" w:rsidRDefault="004719F1"/>
        </w:tc>
        <w:tc>
          <w:tcPr>
            <w:tcW w:w="1020" w:type="dxa"/>
            <w:noWrap/>
            <w:hideMark/>
          </w:tcPr>
          <w:p w14:paraId="4CCCFBA7" w14:textId="77777777" w:rsidR="004719F1" w:rsidRPr="004719F1" w:rsidRDefault="004719F1"/>
        </w:tc>
        <w:tc>
          <w:tcPr>
            <w:tcW w:w="1020" w:type="dxa"/>
            <w:noWrap/>
            <w:hideMark/>
          </w:tcPr>
          <w:p w14:paraId="6EDF0BC2" w14:textId="77777777" w:rsidR="004719F1" w:rsidRPr="004719F1" w:rsidRDefault="004719F1"/>
        </w:tc>
      </w:tr>
      <w:tr w:rsidR="004719F1" w:rsidRPr="004719F1" w14:paraId="7ABBA07D" w14:textId="77777777" w:rsidTr="004719F1">
        <w:trPr>
          <w:trHeight w:val="285"/>
        </w:trPr>
        <w:tc>
          <w:tcPr>
            <w:tcW w:w="1967" w:type="dxa"/>
            <w:noWrap/>
            <w:hideMark/>
          </w:tcPr>
          <w:p w14:paraId="23A8056A" w14:textId="77777777" w:rsidR="004719F1" w:rsidRPr="004719F1" w:rsidRDefault="004719F1">
            <w:r w:rsidRPr="004719F1">
              <w:t>Block</w:t>
            </w:r>
          </w:p>
        </w:tc>
        <w:tc>
          <w:tcPr>
            <w:tcW w:w="957" w:type="dxa"/>
            <w:noWrap/>
            <w:hideMark/>
          </w:tcPr>
          <w:p w14:paraId="7FE46F12" w14:textId="77777777" w:rsidR="004719F1" w:rsidRPr="004719F1" w:rsidRDefault="004719F1">
            <w:r w:rsidRPr="004719F1">
              <w:t>Power</w:t>
            </w:r>
          </w:p>
        </w:tc>
        <w:tc>
          <w:tcPr>
            <w:tcW w:w="936" w:type="dxa"/>
            <w:noWrap/>
            <w:hideMark/>
          </w:tcPr>
          <w:p w14:paraId="79861540" w14:textId="53B81E48" w:rsidR="004719F1" w:rsidRPr="004719F1" w:rsidRDefault="004719F1">
            <w:r w:rsidRPr="004719F1">
              <w:t>Water</w:t>
            </w:r>
            <w:r>
              <w:t>*</w:t>
            </w:r>
          </w:p>
        </w:tc>
        <w:tc>
          <w:tcPr>
            <w:tcW w:w="1020" w:type="dxa"/>
            <w:noWrap/>
            <w:hideMark/>
          </w:tcPr>
          <w:p w14:paraId="27EA2114" w14:textId="77777777" w:rsidR="004719F1" w:rsidRPr="004719F1" w:rsidRDefault="004719F1">
            <w:r w:rsidRPr="004719F1">
              <w:t>Sewer</w:t>
            </w:r>
          </w:p>
        </w:tc>
        <w:tc>
          <w:tcPr>
            <w:tcW w:w="1020" w:type="dxa"/>
            <w:noWrap/>
            <w:hideMark/>
          </w:tcPr>
          <w:p w14:paraId="5C03B43C" w14:textId="77777777" w:rsidR="004719F1" w:rsidRPr="004719F1" w:rsidRDefault="004719F1">
            <w:r w:rsidRPr="004719F1">
              <w:t>Telecom</w:t>
            </w:r>
          </w:p>
        </w:tc>
        <w:tc>
          <w:tcPr>
            <w:tcW w:w="1020" w:type="dxa"/>
            <w:noWrap/>
            <w:hideMark/>
          </w:tcPr>
          <w:p w14:paraId="152655F0" w14:textId="77777777" w:rsidR="004719F1" w:rsidRPr="004719F1" w:rsidRDefault="004719F1">
            <w:r w:rsidRPr="004719F1">
              <w:t>Gas</w:t>
            </w:r>
          </w:p>
        </w:tc>
      </w:tr>
      <w:tr w:rsidR="004719F1" w:rsidRPr="004719F1" w14:paraId="5250EB6B" w14:textId="77777777" w:rsidTr="004719F1">
        <w:trPr>
          <w:trHeight w:val="285"/>
        </w:trPr>
        <w:tc>
          <w:tcPr>
            <w:tcW w:w="1967" w:type="dxa"/>
            <w:noWrap/>
            <w:hideMark/>
          </w:tcPr>
          <w:p w14:paraId="0B08E67B" w14:textId="77777777" w:rsidR="004719F1" w:rsidRPr="004719F1" w:rsidRDefault="004719F1">
            <w:r w:rsidRPr="004719F1">
              <w:t>1st-2nd</w:t>
            </w:r>
          </w:p>
        </w:tc>
        <w:tc>
          <w:tcPr>
            <w:tcW w:w="957" w:type="dxa"/>
            <w:noWrap/>
            <w:hideMark/>
          </w:tcPr>
          <w:p w14:paraId="6F7EB4F4" w14:textId="77777777" w:rsidR="004719F1" w:rsidRPr="004719F1" w:rsidRDefault="004719F1">
            <w:r w:rsidRPr="004719F1">
              <w:t>x</w:t>
            </w:r>
          </w:p>
        </w:tc>
        <w:tc>
          <w:tcPr>
            <w:tcW w:w="936" w:type="dxa"/>
            <w:noWrap/>
            <w:hideMark/>
          </w:tcPr>
          <w:p w14:paraId="6AF0DE4A" w14:textId="77777777" w:rsidR="004719F1" w:rsidRPr="004719F1" w:rsidRDefault="004719F1">
            <w:r w:rsidRPr="004719F1">
              <w:t>x</w:t>
            </w:r>
          </w:p>
        </w:tc>
        <w:tc>
          <w:tcPr>
            <w:tcW w:w="1020" w:type="dxa"/>
            <w:noWrap/>
            <w:hideMark/>
          </w:tcPr>
          <w:p w14:paraId="358C9B38" w14:textId="77777777" w:rsidR="004719F1" w:rsidRPr="004719F1" w:rsidRDefault="004719F1"/>
        </w:tc>
        <w:tc>
          <w:tcPr>
            <w:tcW w:w="1020" w:type="dxa"/>
            <w:noWrap/>
            <w:hideMark/>
          </w:tcPr>
          <w:p w14:paraId="6E2B8131" w14:textId="77777777" w:rsidR="004719F1" w:rsidRPr="004719F1" w:rsidRDefault="004719F1">
            <w:r w:rsidRPr="004719F1">
              <w:t>x</w:t>
            </w:r>
          </w:p>
        </w:tc>
        <w:tc>
          <w:tcPr>
            <w:tcW w:w="1020" w:type="dxa"/>
            <w:noWrap/>
            <w:hideMark/>
          </w:tcPr>
          <w:p w14:paraId="16082A71" w14:textId="77777777" w:rsidR="004719F1" w:rsidRPr="004719F1" w:rsidRDefault="004719F1">
            <w:r w:rsidRPr="004719F1">
              <w:t>x</w:t>
            </w:r>
          </w:p>
        </w:tc>
      </w:tr>
      <w:tr w:rsidR="004719F1" w:rsidRPr="004719F1" w14:paraId="70AD32B3" w14:textId="77777777" w:rsidTr="004719F1">
        <w:trPr>
          <w:trHeight w:val="285"/>
        </w:trPr>
        <w:tc>
          <w:tcPr>
            <w:tcW w:w="1967" w:type="dxa"/>
            <w:noWrap/>
            <w:hideMark/>
          </w:tcPr>
          <w:p w14:paraId="056454D2" w14:textId="77777777" w:rsidR="004719F1" w:rsidRPr="004719F1" w:rsidRDefault="004719F1">
            <w:r w:rsidRPr="004719F1">
              <w:t>2nd-3rd</w:t>
            </w:r>
          </w:p>
        </w:tc>
        <w:tc>
          <w:tcPr>
            <w:tcW w:w="957" w:type="dxa"/>
            <w:noWrap/>
            <w:hideMark/>
          </w:tcPr>
          <w:p w14:paraId="7516B3CF" w14:textId="77777777" w:rsidR="004719F1" w:rsidRPr="004719F1" w:rsidRDefault="004719F1">
            <w:r w:rsidRPr="004719F1">
              <w:t>x</w:t>
            </w:r>
          </w:p>
        </w:tc>
        <w:tc>
          <w:tcPr>
            <w:tcW w:w="936" w:type="dxa"/>
            <w:noWrap/>
            <w:hideMark/>
          </w:tcPr>
          <w:p w14:paraId="02FCFCE5" w14:textId="77777777" w:rsidR="004719F1" w:rsidRPr="004719F1" w:rsidRDefault="004719F1">
            <w:r w:rsidRPr="004719F1">
              <w:t>x</w:t>
            </w:r>
          </w:p>
        </w:tc>
        <w:tc>
          <w:tcPr>
            <w:tcW w:w="1020" w:type="dxa"/>
            <w:noWrap/>
            <w:hideMark/>
          </w:tcPr>
          <w:p w14:paraId="3E7E97DC" w14:textId="77777777" w:rsidR="004719F1" w:rsidRPr="004719F1" w:rsidRDefault="004719F1"/>
        </w:tc>
        <w:tc>
          <w:tcPr>
            <w:tcW w:w="1020" w:type="dxa"/>
            <w:noWrap/>
            <w:hideMark/>
          </w:tcPr>
          <w:p w14:paraId="1994B562" w14:textId="77777777" w:rsidR="004719F1" w:rsidRPr="004719F1" w:rsidRDefault="004719F1">
            <w:r w:rsidRPr="004719F1">
              <w:t>x</w:t>
            </w:r>
          </w:p>
        </w:tc>
        <w:tc>
          <w:tcPr>
            <w:tcW w:w="1020" w:type="dxa"/>
            <w:noWrap/>
            <w:hideMark/>
          </w:tcPr>
          <w:p w14:paraId="78FF2EA4" w14:textId="77777777" w:rsidR="004719F1" w:rsidRPr="004719F1" w:rsidRDefault="004719F1">
            <w:r w:rsidRPr="004719F1">
              <w:t>x</w:t>
            </w:r>
          </w:p>
        </w:tc>
      </w:tr>
      <w:tr w:rsidR="004719F1" w:rsidRPr="004719F1" w14:paraId="728AE98E" w14:textId="77777777" w:rsidTr="004719F1">
        <w:trPr>
          <w:trHeight w:val="285"/>
        </w:trPr>
        <w:tc>
          <w:tcPr>
            <w:tcW w:w="1967" w:type="dxa"/>
            <w:noWrap/>
            <w:hideMark/>
          </w:tcPr>
          <w:p w14:paraId="3F7EF73C" w14:textId="77777777" w:rsidR="004719F1" w:rsidRPr="004719F1" w:rsidRDefault="004719F1">
            <w:r w:rsidRPr="004719F1">
              <w:t>3rd-4th</w:t>
            </w:r>
          </w:p>
        </w:tc>
        <w:tc>
          <w:tcPr>
            <w:tcW w:w="957" w:type="dxa"/>
            <w:noWrap/>
            <w:hideMark/>
          </w:tcPr>
          <w:p w14:paraId="04DF9C88" w14:textId="77777777" w:rsidR="004719F1" w:rsidRPr="004719F1" w:rsidRDefault="004719F1">
            <w:r w:rsidRPr="004719F1">
              <w:t>x</w:t>
            </w:r>
          </w:p>
        </w:tc>
        <w:tc>
          <w:tcPr>
            <w:tcW w:w="936" w:type="dxa"/>
            <w:noWrap/>
            <w:hideMark/>
          </w:tcPr>
          <w:p w14:paraId="1184B7D2" w14:textId="77777777" w:rsidR="004719F1" w:rsidRPr="004719F1" w:rsidRDefault="004719F1">
            <w:r w:rsidRPr="004719F1">
              <w:t>x</w:t>
            </w:r>
          </w:p>
        </w:tc>
        <w:tc>
          <w:tcPr>
            <w:tcW w:w="1020" w:type="dxa"/>
            <w:noWrap/>
            <w:hideMark/>
          </w:tcPr>
          <w:p w14:paraId="2B8C9F6C" w14:textId="77777777" w:rsidR="004719F1" w:rsidRPr="004719F1" w:rsidRDefault="004719F1"/>
        </w:tc>
        <w:tc>
          <w:tcPr>
            <w:tcW w:w="1020" w:type="dxa"/>
            <w:noWrap/>
            <w:hideMark/>
          </w:tcPr>
          <w:p w14:paraId="4CCCCB8C" w14:textId="77777777" w:rsidR="004719F1" w:rsidRPr="004719F1" w:rsidRDefault="004719F1">
            <w:r w:rsidRPr="004719F1">
              <w:t>x</w:t>
            </w:r>
          </w:p>
        </w:tc>
        <w:tc>
          <w:tcPr>
            <w:tcW w:w="1020" w:type="dxa"/>
            <w:noWrap/>
            <w:hideMark/>
          </w:tcPr>
          <w:p w14:paraId="67A9A77A" w14:textId="77777777" w:rsidR="004719F1" w:rsidRPr="004719F1" w:rsidRDefault="004719F1">
            <w:r w:rsidRPr="004719F1">
              <w:t>x</w:t>
            </w:r>
          </w:p>
        </w:tc>
      </w:tr>
      <w:tr w:rsidR="004719F1" w:rsidRPr="004719F1" w14:paraId="22BDED89" w14:textId="77777777" w:rsidTr="004719F1">
        <w:trPr>
          <w:trHeight w:val="285"/>
        </w:trPr>
        <w:tc>
          <w:tcPr>
            <w:tcW w:w="1967" w:type="dxa"/>
            <w:noWrap/>
            <w:hideMark/>
          </w:tcPr>
          <w:p w14:paraId="562EDE8D" w14:textId="77777777" w:rsidR="004719F1" w:rsidRPr="004719F1" w:rsidRDefault="004719F1">
            <w:r w:rsidRPr="004719F1">
              <w:t>4th-5th</w:t>
            </w:r>
          </w:p>
        </w:tc>
        <w:tc>
          <w:tcPr>
            <w:tcW w:w="957" w:type="dxa"/>
            <w:noWrap/>
            <w:hideMark/>
          </w:tcPr>
          <w:p w14:paraId="5F1CABB3" w14:textId="77777777" w:rsidR="004719F1" w:rsidRPr="004719F1" w:rsidRDefault="004719F1"/>
        </w:tc>
        <w:tc>
          <w:tcPr>
            <w:tcW w:w="936" w:type="dxa"/>
            <w:noWrap/>
            <w:hideMark/>
          </w:tcPr>
          <w:p w14:paraId="69F3E21E" w14:textId="77777777" w:rsidR="004719F1" w:rsidRPr="004719F1" w:rsidRDefault="004719F1">
            <w:r w:rsidRPr="004719F1">
              <w:t>x</w:t>
            </w:r>
          </w:p>
        </w:tc>
        <w:tc>
          <w:tcPr>
            <w:tcW w:w="1020" w:type="dxa"/>
            <w:noWrap/>
            <w:hideMark/>
          </w:tcPr>
          <w:p w14:paraId="4C368EE9" w14:textId="77777777" w:rsidR="004719F1" w:rsidRPr="004719F1" w:rsidRDefault="004719F1"/>
        </w:tc>
        <w:tc>
          <w:tcPr>
            <w:tcW w:w="1020" w:type="dxa"/>
            <w:noWrap/>
            <w:hideMark/>
          </w:tcPr>
          <w:p w14:paraId="64155DB4" w14:textId="77777777" w:rsidR="004719F1" w:rsidRPr="004719F1" w:rsidRDefault="004719F1">
            <w:r w:rsidRPr="004719F1">
              <w:t>x</w:t>
            </w:r>
          </w:p>
        </w:tc>
        <w:tc>
          <w:tcPr>
            <w:tcW w:w="1020" w:type="dxa"/>
            <w:noWrap/>
            <w:hideMark/>
          </w:tcPr>
          <w:p w14:paraId="22B8B329" w14:textId="77777777" w:rsidR="004719F1" w:rsidRPr="004719F1" w:rsidRDefault="004719F1">
            <w:r w:rsidRPr="004719F1">
              <w:t>x</w:t>
            </w:r>
          </w:p>
        </w:tc>
      </w:tr>
      <w:tr w:rsidR="004719F1" w:rsidRPr="004719F1" w14:paraId="29C62A68" w14:textId="77777777" w:rsidTr="004719F1">
        <w:trPr>
          <w:trHeight w:val="285"/>
        </w:trPr>
        <w:tc>
          <w:tcPr>
            <w:tcW w:w="1967" w:type="dxa"/>
            <w:noWrap/>
            <w:hideMark/>
          </w:tcPr>
          <w:p w14:paraId="6B4E58BD" w14:textId="77777777" w:rsidR="004719F1" w:rsidRPr="004719F1" w:rsidRDefault="004719F1">
            <w:r w:rsidRPr="004719F1">
              <w:t>5th-6th</w:t>
            </w:r>
          </w:p>
        </w:tc>
        <w:tc>
          <w:tcPr>
            <w:tcW w:w="957" w:type="dxa"/>
            <w:noWrap/>
            <w:hideMark/>
          </w:tcPr>
          <w:p w14:paraId="37AF3ECD" w14:textId="77777777" w:rsidR="004719F1" w:rsidRPr="004719F1" w:rsidRDefault="004719F1">
            <w:r w:rsidRPr="004719F1">
              <w:t>x</w:t>
            </w:r>
          </w:p>
        </w:tc>
        <w:tc>
          <w:tcPr>
            <w:tcW w:w="936" w:type="dxa"/>
            <w:noWrap/>
            <w:hideMark/>
          </w:tcPr>
          <w:p w14:paraId="590906ED" w14:textId="77777777" w:rsidR="004719F1" w:rsidRPr="004719F1" w:rsidRDefault="004719F1">
            <w:r w:rsidRPr="004719F1">
              <w:t>x</w:t>
            </w:r>
          </w:p>
        </w:tc>
        <w:tc>
          <w:tcPr>
            <w:tcW w:w="1020" w:type="dxa"/>
            <w:noWrap/>
            <w:hideMark/>
          </w:tcPr>
          <w:p w14:paraId="4A5BA4BD" w14:textId="77777777" w:rsidR="004719F1" w:rsidRPr="004719F1" w:rsidRDefault="004719F1"/>
        </w:tc>
        <w:tc>
          <w:tcPr>
            <w:tcW w:w="1020" w:type="dxa"/>
            <w:noWrap/>
            <w:hideMark/>
          </w:tcPr>
          <w:p w14:paraId="38CBBD0E" w14:textId="77777777" w:rsidR="004719F1" w:rsidRPr="004719F1" w:rsidRDefault="004719F1">
            <w:r w:rsidRPr="004719F1">
              <w:t>x</w:t>
            </w:r>
          </w:p>
        </w:tc>
        <w:tc>
          <w:tcPr>
            <w:tcW w:w="1020" w:type="dxa"/>
            <w:noWrap/>
            <w:hideMark/>
          </w:tcPr>
          <w:p w14:paraId="7B20861E" w14:textId="77777777" w:rsidR="004719F1" w:rsidRPr="004719F1" w:rsidRDefault="004719F1">
            <w:r w:rsidRPr="004719F1">
              <w:t>x</w:t>
            </w:r>
          </w:p>
        </w:tc>
      </w:tr>
      <w:tr w:rsidR="004719F1" w:rsidRPr="004719F1" w14:paraId="12FD5577" w14:textId="77777777" w:rsidTr="004719F1">
        <w:trPr>
          <w:trHeight w:val="285"/>
        </w:trPr>
        <w:tc>
          <w:tcPr>
            <w:tcW w:w="1967" w:type="dxa"/>
            <w:noWrap/>
            <w:hideMark/>
          </w:tcPr>
          <w:p w14:paraId="325594D9" w14:textId="77777777" w:rsidR="004719F1" w:rsidRPr="004719F1" w:rsidRDefault="004719F1">
            <w:r w:rsidRPr="004719F1">
              <w:t>6th-7th</w:t>
            </w:r>
          </w:p>
        </w:tc>
        <w:tc>
          <w:tcPr>
            <w:tcW w:w="957" w:type="dxa"/>
            <w:noWrap/>
            <w:hideMark/>
          </w:tcPr>
          <w:p w14:paraId="183C2419" w14:textId="77777777" w:rsidR="004719F1" w:rsidRPr="004719F1" w:rsidRDefault="004719F1"/>
        </w:tc>
        <w:tc>
          <w:tcPr>
            <w:tcW w:w="936" w:type="dxa"/>
            <w:noWrap/>
            <w:hideMark/>
          </w:tcPr>
          <w:p w14:paraId="56418FB3" w14:textId="77777777" w:rsidR="004719F1" w:rsidRPr="004719F1" w:rsidRDefault="004719F1">
            <w:r w:rsidRPr="004719F1">
              <w:t>x</w:t>
            </w:r>
          </w:p>
        </w:tc>
        <w:tc>
          <w:tcPr>
            <w:tcW w:w="1020" w:type="dxa"/>
            <w:noWrap/>
            <w:hideMark/>
          </w:tcPr>
          <w:p w14:paraId="2C329DD8" w14:textId="77777777" w:rsidR="004719F1" w:rsidRPr="004719F1" w:rsidRDefault="004719F1">
            <w:r w:rsidRPr="004719F1">
              <w:t>x</w:t>
            </w:r>
          </w:p>
        </w:tc>
        <w:tc>
          <w:tcPr>
            <w:tcW w:w="1020" w:type="dxa"/>
            <w:noWrap/>
            <w:hideMark/>
          </w:tcPr>
          <w:p w14:paraId="2CDE3CD0" w14:textId="77777777" w:rsidR="004719F1" w:rsidRPr="004719F1" w:rsidRDefault="004719F1"/>
        </w:tc>
        <w:tc>
          <w:tcPr>
            <w:tcW w:w="1020" w:type="dxa"/>
            <w:noWrap/>
            <w:hideMark/>
          </w:tcPr>
          <w:p w14:paraId="64CFCD21" w14:textId="77777777" w:rsidR="004719F1" w:rsidRPr="004719F1" w:rsidRDefault="004719F1">
            <w:r w:rsidRPr="004719F1">
              <w:t>x</w:t>
            </w:r>
          </w:p>
        </w:tc>
      </w:tr>
      <w:tr w:rsidR="004719F1" w:rsidRPr="004719F1" w14:paraId="068C33BB" w14:textId="77777777" w:rsidTr="004719F1">
        <w:trPr>
          <w:trHeight w:val="285"/>
        </w:trPr>
        <w:tc>
          <w:tcPr>
            <w:tcW w:w="1967" w:type="dxa"/>
            <w:noWrap/>
            <w:hideMark/>
          </w:tcPr>
          <w:p w14:paraId="1BC46DFB" w14:textId="77777777" w:rsidR="004719F1" w:rsidRPr="004719F1" w:rsidRDefault="004719F1">
            <w:r w:rsidRPr="004719F1">
              <w:lastRenderedPageBreak/>
              <w:t>7th-8th</w:t>
            </w:r>
          </w:p>
        </w:tc>
        <w:tc>
          <w:tcPr>
            <w:tcW w:w="957" w:type="dxa"/>
            <w:noWrap/>
            <w:hideMark/>
          </w:tcPr>
          <w:p w14:paraId="59BBEF0E" w14:textId="77777777" w:rsidR="004719F1" w:rsidRPr="004719F1" w:rsidRDefault="004719F1">
            <w:r w:rsidRPr="004719F1">
              <w:t>x</w:t>
            </w:r>
          </w:p>
        </w:tc>
        <w:tc>
          <w:tcPr>
            <w:tcW w:w="936" w:type="dxa"/>
            <w:noWrap/>
            <w:hideMark/>
          </w:tcPr>
          <w:p w14:paraId="19CEC0C2" w14:textId="77777777" w:rsidR="004719F1" w:rsidRPr="004719F1" w:rsidRDefault="004719F1">
            <w:r w:rsidRPr="004719F1">
              <w:t>x</w:t>
            </w:r>
          </w:p>
        </w:tc>
        <w:tc>
          <w:tcPr>
            <w:tcW w:w="1020" w:type="dxa"/>
            <w:noWrap/>
            <w:hideMark/>
          </w:tcPr>
          <w:p w14:paraId="2BC58FB2" w14:textId="77777777" w:rsidR="004719F1" w:rsidRPr="004719F1" w:rsidRDefault="004719F1">
            <w:r w:rsidRPr="004719F1">
              <w:t>x</w:t>
            </w:r>
          </w:p>
        </w:tc>
        <w:tc>
          <w:tcPr>
            <w:tcW w:w="1020" w:type="dxa"/>
            <w:noWrap/>
            <w:hideMark/>
          </w:tcPr>
          <w:p w14:paraId="55266280" w14:textId="77777777" w:rsidR="004719F1" w:rsidRPr="004719F1" w:rsidRDefault="004719F1"/>
        </w:tc>
        <w:tc>
          <w:tcPr>
            <w:tcW w:w="1020" w:type="dxa"/>
            <w:noWrap/>
            <w:hideMark/>
          </w:tcPr>
          <w:p w14:paraId="3C9DA33D" w14:textId="77777777" w:rsidR="004719F1" w:rsidRPr="004719F1" w:rsidRDefault="004719F1">
            <w:r w:rsidRPr="004719F1">
              <w:t>x</w:t>
            </w:r>
          </w:p>
        </w:tc>
      </w:tr>
      <w:tr w:rsidR="004719F1" w:rsidRPr="004719F1" w14:paraId="084DDE80" w14:textId="77777777" w:rsidTr="004719F1">
        <w:trPr>
          <w:trHeight w:val="285"/>
        </w:trPr>
        <w:tc>
          <w:tcPr>
            <w:tcW w:w="1967" w:type="dxa"/>
            <w:noWrap/>
            <w:hideMark/>
          </w:tcPr>
          <w:p w14:paraId="4BA934DF" w14:textId="77777777" w:rsidR="004719F1" w:rsidRPr="004719F1" w:rsidRDefault="004719F1">
            <w:r w:rsidRPr="004719F1">
              <w:t>8th-9th</w:t>
            </w:r>
          </w:p>
        </w:tc>
        <w:tc>
          <w:tcPr>
            <w:tcW w:w="957" w:type="dxa"/>
            <w:noWrap/>
            <w:hideMark/>
          </w:tcPr>
          <w:p w14:paraId="355E21BC" w14:textId="77777777" w:rsidR="004719F1" w:rsidRPr="004719F1" w:rsidRDefault="004719F1">
            <w:r w:rsidRPr="004719F1">
              <w:t>x</w:t>
            </w:r>
          </w:p>
        </w:tc>
        <w:tc>
          <w:tcPr>
            <w:tcW w:w="936" w:type="dxa"/>
            <w:noWrap/>
            <w:hideMark/>
          </w:tcPr>
          <w:p w14:paraId="7740F126" w14:textId="77777777" w:rsidR="004719F1" w:rsidRPr="004719F1" w:rsidRDefault="004719F1">
            <w:r w:rsidRPr="004719F1">
              <w:t>x</w:t>
            </w:r>
          </w:p>
        </w:tc>
        <w:tc>
          <w:tcPr>
            <w:tcW w:w="1020" w:type="dxa"/>
            <w:noWrap/>
            <w:hideMark/>
          </w:tcPr>
          <w:p w14:paraId="1170466E" w14:textId="77777777" w:rsidR="004719F1" w:rsidRPr="004719F1" w:rsidRDefault="004719F1">
            <w:r w:rsidRPr="004719F1">
              <w:t>x</w:t>
            </w:r>
          </w:p>
        </w:tc>
        <w:tc>
          <w:tcPr>
            <w:tcW w:w="1020" w:type="dxa"/>
            <w:noWrap/>
            <w:hideMark/>
          </w:tcPr>
          <w:p w14:paraId="1B4A94BF" w14:textId="77777777" w:rsidR="004719F1" w:rsidRPr="004719F1" w:rsidRDefault="004719F1"/>
        </w:tc>
        <w:tc>
          <w:tcPr>
            <w:tcW w:w="1020" w:type="dxa"/>
            <w:noWrap/>
            <w:hideMark/>
          </w:tcPr>
          <w:p w14:paraId="1739325D" w14:textId="77777777" w:rsidR="004719F1" w:rsidRPr="004719F1" w:rsidRDefault="004719F1">
            <w:r w:rsidRPr="004719F1">
              <w:t>x</w:t>
            </w:r>
          </w:p>
        </w:tc>
      </w:tr>
      <w:tr w:rsidR="004719F1" w:rsidRPr="004719F1" w14:paraId="573F0D37" w14:textId="77777777" w:rsidTr="004719F1">
        <w:trPr>
          <w:trHeight w:val="285"/>
        </w:trPr>
        <w:tc>
          <w:tcPr>
            <w:tcW w:w="1967" w:type="dxa"/>
            <w:noWrap/>
            <w:hideMark/>
          </w:tcPr>
          <w:p w14:paraId="2E5D7745" w14:textId="77777777" w:rsidR="004719F1" w:rsidRPr="004719F1" w:rsidRDefault="004719F1">
            <w:r w:rsidRPr="004719F1">
              <w:t>9th-Olympic</w:t>
            </w:r>
          </w:p>
        </w:tc>
        <w:tc>
          <w:tcPr>
            <w:tcW w:w="957" w:type="dxa"/>
            <w:noWrap/>
            <w:hideMark/>
          </w:tcPr>
          <w:p w14:paraId="52B55055" w14:textId="77777777" w:rsidR="004719F1" w:rsidRPr="004719F1" w:rsidRDefault="004719F1">
            <w:r w:rsidRPr="004719F1">
              <w:t>x</w:t>
            </w:r>
          </w:p>
        </w:tc>
        <w:tc>
          <w:tcPr>
            <w:tcW w:w="936" w:type="dxa"/>
            <w:noWrap/>
            <w:hideMark/>
          </w:tcPr>
          <w:p w14:paraId="10D7A48C" w14:textId="77777777" w:rsidR="004719F1" w:rsidRPr="004719F1" w:rsidRDefault="004719F1">
            <w:r w:rsidRPr="004719F1">
              <w:t>x</w:t>
            </w:r>
          </w:p>
        </w:tc>
        <w:tc>
          <w:tcPr>
            <w:tcW w:w="1020" w:type="dxa"/>
            <w:noWrap/>
            <w:hideMark/>
          </w:tcPr>
          <w:p w14:paraId="3BD05644" w14:textId="77777777" w:rsidR="004719F1" w:rsidRPr="004719F1" w:rsidRDefault="004719F1"/>
        </w:tc>
        <w:tc>
          <w:tcPr>
            <w:tcW w:w="1020" w:type="dxa"/>
            <w:noWrap/>
            <w:hideMark/>
          </w:tcPr>
          <w:p w14:paraId="428A4C83" w14:textId="77777777" w:rsidR="004719F1" w:rsidRPr="004719F1" w:rsidRDefault="004719F1"/>
        </w:tc>
        <w:tc>
          <w:tcPr>
            <w:tcW w:w="1020" w:type="dxa"/>
            <w:noWrap/>
            <w:hideMark/>
          </w:tcPr>
          <w:p w14:paraId="4EA62750" w14:textId="77777777" w:rsidR="004719F1" w:rsidRPr="004719F1" w:rsidRDefault="004719F1">
            <w:r w:rsidRPr="004719F1">
              <w:t>x</w:t>
            </w:r>
          </w:p>
        </w:tc>
      </w:tr>
      <w:tr w:rsidR="004719F1" w:rsidRPr="004719F1" w14:paraId="2C737D9E" w14:textId="77777777" w:rsidTr="004719F1">
        <w:trPr>
          <w:trHeight w:val="285"/>
        </w:trPr>
        <w:tc>
          <w:tcPr>
            <w:tcW w:w="1967" w:type="dxa"/>
            <w:noWrap/>
            <w:hideMark/>
          </w:tcPr>
          <w:p w14:paraId="28EAD910" w14:textId="77777777" w:rsidR="004719F1" w:rsidRPr="004719F1" w:rsidRDefault="004719F1">
            <w:r w:rsidRPr="004719F1">
              <w:t>Olympic-11th</w:t>
            </w:r>
          </w:p>
        </w:tc>
        <w:tc>
          <w:tcPr>
            <w:tcW w:w="957" w:type="dxa"/>
            <w:noWrap/>
            <w:hideMark/>
          </w:tcPr>
          <w:p w14:paraId="54960BBC" w14:textId="77777777" w:rsidR="004719F1" w:rsidRPr="004719F1" w:rsidRDefault="004719F1">
            <w:r w:rsidRPr="004719F1">
              <w:t>x</w:t>
            </w:r>
          </w:p>
        </w:tc>
        <w:tc>
          <w:tcPr>
            <w:tcW w:w="936" w:type="dxa"/>
            <w:noWrap/>
            <w:hideMark/>
          </w:tcPr>
          <w:p w14:paraId="1B4D0BBB" w14:textId="77777777" w:rsidR="004719F1" w:rsidRPr="004719F1" w:rsidRDefault="004719F1">
            <w:r w:rsidRPr="004719F1">
              <w:t>x</w:t>
            </w:r>
          </w:p>
        </w:tc>
        <w:tc>
          <w:tcPr>
            <w:tcW w:w="1020" w:type="dxa"/>
            <w:noWrap/>
            <w:hideMark/>
          </w:tcPr>
          <w:p w14:paraId="75C7D601" w14:textId="77777777" w:rsidR="004719F1" w:rsidRPr="004719F1" w:rsidRDefault="004719F1">
            <w:r w:rsidRPr="004719F1">
              <w:t>x</w:t>
            </w:r>
          </w:p>
        </w:tc>
        <w:tc>
          <w:tcPr>
            <w:tcW w:w="1020" w:type="dxa"/>
            <w:noWrap/>
            <w:hideMark/>
          </w:tcPr>
          <w:p w14:paraId="0E69D2BC" w14:textId="77777777" w:rsidR="004719F1" w:rsidRPr="004719F1" w:rsidRDefault="004719F1"/>
        </w:tc>
        <w:tc>
          <w:tcPr>
            <w:tcW w:w="1020" w:type="dxa"/>
            <w:noWrap/>
            <w:hideMark/>
          </w:tcPr>
          <w:p w14:paraId="0CC63F35" w14:textId="77777777" w:rsidR="004719F1" w:rsidRPr="004719F1" w:rsidRDefault="004719F1"/>
        </w:tc>
      </w:tr>
    </w:tbl>
    <w:p w14:paraId="6A08778C" w14:textId="376650D9" w:rsidR="004719F1" w:rsidRPr="007D3436" w:rsidRDefault="004719F1" w:rsidP="007D3436">
      <w:r>
        <w:t xml:space="preserve">*Water line relocation on Broadway is due to full implementation of Broadway Streetscape project and not a conflict with streetcar. </w:t>
      </w:r>
    </w:p>
    <w:p w14:paraId="1FFF2730" w14:textId="2AEB8F86" w:rsidR="00B5169B" w:rsidRDefault="00885F8A" w:rsidP="00B5169B">
      <w:pPr>
        <w:pStyle w:val="ListParagraph"/>
        <w:numPr>
          <w:ilvl w:val="0"/>
          <w:numId w:val="4"/>
        </w:numPr>
        <w:rPr>
          <w:i/>
          <w:iCs/>
        </w:rPr>
      </w:pPr>
      <w:r w:rsidRPr="00B5169B">
        <w:rPr>
          <w:i/>
          <w:iCs/>
        </w:rPr>
        <w:t>What is the 2022 total cost of the project? Is the project fully funded? Where are the sources of funding? We request that LASI present an outline of committed funding sources and amounts to date.</w:t>
      </w:r>
    </w:p>
    <w:p w14:paraId="4C02325F" w14:textId="5F3267E5" w:rsidR="00A707AC" w:rsidRPr="00A707AC" w:rsidRDefault="00B5169B" w:rsidP="00B5169B">
      <w:pPr>
        <w:pStyle w:val="ListParagraph"/>
        <w:numPr>
          <w:ilvl w:val="1"/>
          <w:numId w:val="4"/>
        </w:numPr>
      </w:pPr>
      <w:r w:rsidRPr="00A707AC">
        <w:t xml:space="preserve">In “year of expenditure” dollars the project is currently estimated to cost about </w:t>
      </w:r>
      <w:r w:rsidR="00A707AC" w:rsidRPr="00A707AC">
        <w:t>$370 million.</w:t>
      </w:r>
    </w:p>
    <w:p w14:paraId="11E744BE" w14:textId="19ADFAD4" w:rsidR="00A707AC" w:rsidRPr="00A707AC" w:rsidRDefault="00A707AC" w:rsidP="00B5169B">
      <w:pPr>
        <w:pStyle w:val="ListParagraph"/>
        <w:numPr>
          <w:ilvl w:val="1"/>
          <w:numId w:val="4"/>
        </w:numPr>
      </w:pPr>
      <w:r w:rsidRPr="00A707AC">
        <w:t xml:space="preserve">Identified and committed funding sources include: </w:t>
      </w:r>
    </w:p>
    <w:p w14:paraId="4D0540FA" w14:textId="48725451" w:rsidR="00B5169B" w:rsidRPr="00B5169B" w:rsidRDefault="00A707AC" w:rsidP="00A707AC">
      <w:pPr>
        <w:pStyle w:val="ListParagraph"/>
        <w:numPr>
          <w:ilvl w:val="2"/>
          <w:numId w:val="4"/>
        </w:numPr>
      </w:pPr>
      <w:r>
        <w:t xml:space="preserve">Committed: </w:t>
      </w:r>
      <w:r w:rsidR="00B5169B" w:rsidRPr="00B5169B">
        <w:t>$12 million in local grants and contributions</w:t>
      </w:r>
      <w:r w:rsidRPr="00A707AC">
        <w:t xml:space="preserve"> (including former Community Redevelopment Agency [CRA/LA] grant, Transfer of Floor Area Rights [TFAR] community benefits payments, and private donations</w:t>
      </w:r>
    </w:p>
    <w:p w14:paraId="5D9A82CC" w14:textId="3FC0FCC5" w:rsidR="00B5169B" w:rsidRPr="00B5169B" w:rsidRDefault="00A707AC" w:rsidP="00A707AC">
      <w:pPr>
        <w:pStyle w:val="ListParagraph"/>
        <w:numPr>
          <w:ilvl w:val="2"/>
          <w:numId w:val="4"/>
        </w:numPr>
      </w:pPr>
      <w:r>
        <w:t xml:space="preserve">Committed: </w:t>
      </w:r>
      <w:r w:rsidR="00B5169B" w:rsidRPr="00B5169B">
        <w:t xml:space="preserve">$85 million </w:t>
      </w:r>
      <w:r w:rsidRPr="00A707AC">
        <w:t>bond-capacity Mello-</w:t>
      </w:r>
      <w:proofErr w:type="spellStart"/>
      <w:r w:rsidRPr="00A707AC">
        <w:t>Roos</w:t>
      </w:r>
      <w:proofErr w:type="spellEnd"/>
      <w:r w:rsidRPr="00A707AC">
        <w:t xml:space="preserve"> </w:t>
      </w:r>
      <w:r w:rsidR="00B5169B" w:rsidRPr="00B5169B">
        <w:t>Community Facilities District (CFD)</w:t>
      </w:r>
      <w:r w:rsidRPr="00A707AC">
        <w:t xml:space="preserve"> Approved in 2012 by downtown voters</w:t>
      </w:r>
    </w:p>
    <w:p w14:paraId="0B98ACFF" w14:textId="2BAFBE0F" w:rsidR="00B5169B" w:rsidRPr="00B5169B" w:rsidRDefault="00A707AC" w:rsidP="00A707AC">
      <w:pPr>
        <w:pStyle w:val="ListParagraph"/>
        <w:numPr>
          <w:ilvl w:val="2"/>
          <w:numId w:val="4"/>
        </w:numPr>
      </w:pPr>
      <w:r>
        <w:t xml:space="preserve">Committed: Up to </w:t>
      </w:r>
      <w:r w:rsidR="00B5169B" w:rsidRPr="00B5169B">
        <w:t>$200 million (</w:t>
      </w:r>
      <w:r>
        <w:t xml:space="preserve">in </w:t>
      </w:r>
      <w:r w:rsidR="00B5169B" w:rsidRPr="00B5169B">
        <w:t xml:space="preserve">2015$) </w:t>
      </w:r>
      <w:r>
        <w:t xml:space="preserve">in LA Metro </w:t>
      </w:r>
      <w:r w:rsidR="00B5169B" w:rsidRPr="00B5169B">
        <w:t>Measure M</w:t>
      </w:r>
      <w:r>
        <w:t>, programed in years 2053-2057. We are discussing with Metro how to access these funds sooner.</w:t>
      </w:r>
    </w:p>
    <w:p w14:paraId="068D3E63" w14:textId="0F78AC7B" w:rsidR="00A707AC" w:rsidRPr="00A707AC" w:rsidRDefault="00A707AC" w:rsidP="00A707AC">
      <w:pPr>
        <w:pStyle w:val="ListParagraph"/>
        <w:numPr>
          <w:ilvl w:val="2"/>
          <w:numId w:val="4"/>
        </w:numPr>
      </w:pPr>
      <w:r>
        <w:t xml:space="preserve">Planned: Up to </w:t>
      </w:r>
      <w:r w:rsidRPr="00A707AC">
        <w:t>$150 million F</w:t>
      </w:r>
      <w:r>
        <w:t>ederal Transit Administration</w:t>
      </w:r>
      <w:r w:rsidRPr="00A707AC">
        <w:t xml:space="preserve"> Small Starts</w:t>
      </w:r>
      <w:r>
        <w:t xml:space="preserve"> Capital Investment Grant</w:t>
      </w:r>
    </w:p>
    <w:p w14:paraId="61EF0E4E" w14:textId="6D7CD683" w:rsidR="00A707AC" w:rsidRDefault="00A707AC" w:rsidP="00A707AC">
      <w:pPr>
        <w:pStyle w:val="ListParagraph"/>
        <w:numPr>
          <w:ilvl w:val="2"/>
          <w:numId w:val="4"/>
        </w:numPr>
      </w:pPr>
      <w:r>
        <w:t xml:space="preserve">Committed: </w:t>
      </w:r>
      <w:r w:rsidRPr="00B5169B">
        <w:t>$295 million Measure R Local Return (for operations</w:t>
      </w:r>
      <w:r>
        <w:t xml:space="preserve"> &amp; maintenance</w:t>
      </w:r>
      <w:r w:rsidRPr="00B5169B">
        <w:t>)</w:t>
      </w:r>
    </w:p>
    <w:p w14:paraId="693E5B38" w14:textId="77777777" w:rsidR="008F2AC9" w:rsidRPr="00B5169B" w:rsidRDefault="008F2AC9" w:rsidP="008F2AC9">
      <w:pPr>
        <w:pStyle w:val="ListParagraph"/>
        <w:ind w:left="2160"/>
      </w:pPr>
    </w:p>
    <w:p w14:paraId="5EEC43FF" w14:textId="101B1E64" w:rsidR="00885F8A" w:rsidRDefault="00885F8A" w:rsidP="00885F8A">
      <w:pPr>
        <w:rPr>
          <w:i/>
          <w:iCs/>
        </w:rPr>
      </w:pPr>
      <w:r w:rsidRPr="00885F8A">
        <w:rPr>
          <w:i/>
          <w:iCs/>
        </w:rPr>
        <w:t>Background: In the June 16th presentation to the Livability Committee LASI reported that $742M has been secured for the project, of which $295M of funding from Measure R Local returns for operations. However, several Council files (11-0329-S7; 11-0329-S11, 11-0329-S12) reference an authorized a maximum funding amount of $85 million from Measure R, and a maximum annual of $7.6M from a special tax each year on taxable properties. Further, in its 2019 Funding Recommendation report, the FTA sited issues related to the financial assessment of the project. The community seeks clarity on the funding status of the street car project.</w:t>
      </w:r>
    </w:p>
    <w:p w14:paraId="7190E5AF" w14:textId="009794F6" w:rsidR="00A707AC" w:rsidRDefault="00A707AC" w:rsidP="00A707AC">
      <w:pPr>
        <w:pStyle w:val="ListParagraph"/>
        <w:numPr>
          <w:ilvl w:val="0"/>
          <w:numId w:val="5"/>
        </w:numPr>
      </w:pPr>
      <w:r>
        <w:t>$85M refers to the bonding capacity of the Mello-</w:t>
      </w:r>
      <w:proofErr w:type="spellStart"/>
      <w:r>
        <w:t>Roos</w:t>
      </w:r>
      <w:proofErr w:type="spellEnd"/>
      <w:r>
        <w:t xml:space="preserve"> Community Facilities District and the special tax that will be collected to pay back the bond(s). </w:t>
      </w:r>
    </w:p>
    <w:p w14:paraId="1E769D68" w14:textId="3F43382C" w:rsidR="00885F8A" w:rsidRDefault="00A707AC" w:rsidP="00104184">
      <w:pPr>
        <w:pStyle w:val="ListParagraph"/>
        <w:numPr>
          <w:ilvl w:val="0"/>
          <w:numId w:val="5"/>
        </w:numPr>
      </w:pPr>
      <w:r>
        <w:t>FTA’s financial assessment reflects primarily that there is not yet a commitment in place to accelerate or access the Measure M dollars (the $200M in 2015$ programmed in 2053-2057)</w:t>
      </w:r>
      <w:r w:rsidR="008C063D">
        <w:t xml:space="preserve"> and because the financial plan is not complete/resolved the Mello-</w:t>
      </w:r>
      <w:proofErr w:type="spellStart"/>
      <w:r w:rsidR="008C063D">
        <w:t>Roos</w:t>
      </w:r>
      <w:proofErr w:type="spellEnd"/>
      <w:r w:rsidR="008C063D">
        <w:t xml:space="preserve"> CFD has not been activated/triggered. </w:t>
      </w:r>
      <w:r>
        <w:t xml:space="preserve"> </w:t>
      </w:r>
    </w:p>
    <w:sectPr w:rsidR="00885F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D8371" w14:textId="77777777" w:rsidR="008109B3" w:rsidRDefault="008109B3" w:rsidP="008C063D">
      <w:pPr>
        <w:spacing w:after="0" w:line="240" w:lineRule="auto"/>
      </w:pPr>
      <w:r>
        <w:separator/>
      </w:r>
    </w:p>
  </w:endnote>
  <w:endnote w:type="continuationSeparator" w:id="0">
    <w:p w14:paraId="0ED654F9" w14:textId="77777777" w:rsidR="008109B3" w:rsidRDefault="008109B3" w:rsidP="008C0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2505" w14:textId="5738732B" w:rsidR="008C063D" w:rsidRDefault="008C063D">
    <w:pPr>
      <w:pStyle w:val="Footer"/>
    </w:pPr>
    <w:r>
      <w:t>7/8/22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3486B" w14:textId="77777777" w:rsidR="008109B3" w:rsidRDefault="008109B3" w:rsidP="008C063D">
      <w:pPr>
        <w:spacing w:after="0" w:line="240" w:lineRule="auto"/>
      </w:pPr>
      <w:r>
        <w:separator/>
      </w:r>
    </w:p>
  </w:footnote>
  <w:footnote w:type="continuationSeparator" w:id="0">
    <w:p w14:paraId="0D5D2275" w14:textId="77777777" w:rsidR="008109B3" w:rsidRDefault="008109B3" w:rsidP="008C06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91696"/>
    <w:multiLevelType w:val="hybridMultilevel"/>
    <w:tmpl w:val="FAD08B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E1B80"/>
    <w:multiLevelType w:val="hybridMultilevel"/>
    <w:tmpl w:val="5A90C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AC25B0"/>
    <w:multiLevelType w:val="hybridMultilevel"/>
    <w:tmpl w:val="132A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856C8"/>
    <w:multiLevelType w:val="hybridMultilevel"/>
    <w:tmpl w:val="FC726CF2"/>
    <w:lvl w:ilvl="0" w:tplc="DBEEC0E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F8A"/>
    <w:rsid w:val="00044BDD"/>
    <w:rsid w:val="00160327"/>
    <w:rsid w:val="003C3AD1"/>
    <w:rsid w:val="004719F1"/>
    <w:rsid w:val="0066528C"/>
    <w:rsid w:val="00675983"/>
    <w:rsid w:val="006F0CDF"/>
    <w:rsid w:val="0076661B"/>
    <w:rsid w:val="00776854"/>
    <w:rsid w:val="007B02C6"/>
    <w:rsid w:val="007B65A5"/>
    <w:rsid w:val="007D3436"/>
    <w:rsid w:val="008109B3"/>
    <w:rsid w:val="0081248D"/>
    <w:rsid w:val="00885F8A"/>
    <w:rsid w:val="008C063D"/>
    <w:rsid w:val="008F2AC9"/>
    <w:rsid w:val="009A27B0"/>
    <w:rsid w:val="00A707AC"/>
    <w:rsid w:val="00B5169B"/>
    <w:rsid w:val="00D23498"/>
    <w:rsid w:val="00D8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B228"/>
  <w15:chartTrackingRefBased/>
  <w15:docId w15:val="{C842D336-6010-4F5B-AAB2-9ABE9C4B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F8A"/>
    <w:pPr>
      <w:spacing w:after="0" w:line="240" w:lineRule="auto"/>
      <w:ind w:left="720"/>
    </w:pPr>
    <w:rPr>
      <w:rFonts w:ascii="Calibri" w:hAnsi="Calibri" w:cs="Calibri"/>
    </w:rPr>
  </w:style>
  <w:style w:type="table" w:styleId="TableGrid">
    <w:name w:val="Table Grid"/>
    <w:basedOn w:val="TableNormal"/>
    <w:uiPriority w:val="39"/>
    <w:rsid w:val="00471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63D"/>
  </w:style>
  <w:style w:type="paragraph" w:styleId="Footer">
    <w:name w:val="footer"/>
    <w:basedOn w:val="Normal"/>
    <w:link w:val="FooterChar"/>
    <w:uiPriority w:val="99"/>
    <w:unhideWhenUsed/>
    <w:rsid w:val="008C0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06191">
      <w:bodyDiv w:val="1"/>
      <w:marLeft w:val="0"/>
      <w:marRight w:val="0"/>
      <w:marTop w:val="0"/>
      <w:marBottom w:val="0"/>
      <w:divBdr>
        <w:top w:val="none" w:sz="0" w:space="0" w:color="auto"/>
        <w:left w:val="none" w:sz="0" w:space="0" w:color="auto"/>
        <w:bottom w:val="none" w:sz="0" w:space="0" w:color="auto"/>
        <w:right w:val="none" w:sz="0" w:space="0" w:color="auto"/>
      </w:divBdr>
    </w:div>
    <w:div w:id="766390152">
      <w:bodyDiv w:val="1"/>
      <w:marLeft w:val="0"/>
      <w:marRight w:val="0"/>
      <w:marTop w:val="0"/>
      <w:marBottom w:val="0"/>
      <w:divBdr>
        <w:top w:val="none" w:sz="0" w:space="0" w:color="auto"/>
        <w:left w:val="none" w:sz="0" w:space="0" w:color="auto"/>
        <w:bottom w:val="none" w:sz="0" w:space="0" w:color="auto"/>
        <w:right w:val="none" w:sz="0" w:space="0" w:color="auto"/>
      </w:divBdr>
    </w:div>
    <w:div w:id="160373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Benedict</dc:creator>
  <cp:keywords/>
  <dc:description/>
  <cp:lastModifiedBy>Debby Zhou</cp:lastModifiedBy>
  <cp:revision>5</cp:revision>
  <dcterms:created xsi:type="dcterms:W3CDTF">2022-07-08T23:17:00Z</dcterms:created>
  <dcterms:modified xsi:type="dcterms:W3CDTF">2022-07-11T20:03:00Z</dcterms:modified>
</cp:coreProperties>
</file>