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Date: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4,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Time: 8:30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PM 8:32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tony.hoover@dlanc.com for more information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Virtual Meeting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VIRTUAL MEETING TELECONFERENCING NUMBER FOR PUBLIC PARTICIPATION</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In conformity with the Governor’s Executive Order N-29-20 (MARCH 17, 2020) and due to concerns over COVID-19, the Downtown LA Neighborhood Council meeting will be conducted entirely telephonically.</w:t>
      </w:r>
    </w:p>
    <w:p w:rsidR="00000000" w:rsidDel="00000000" w:rsidP="00000000" w:rsidRDefault="00000000" w:rsidRPr="00000000" w14:paraId="00000009">
      <w:pPr>
        <w:rPr>
          <w:sz w:val="20"/>
          <w:szCs w:val="20"/>
        </w:rPr>
      </w:pPr>
      <w:r w:rsidDel="00000000" w:rsidR="00000000" w:rsidRPr="00000000">
        <w:rPr>
          <w:sz w:val="20"/>
          <w:szCs w:val="20"/>
          <w:rtl w:val="0"/>
        </w:rPr>
        <w:t xml:space="preserve">Every person wishing to address the Neighborhood Council can dial (669-900-6833) or join the Zoom webinar:</w:t>
      </w:r>
    </w:p>
    <w:p w:rsidR="00000000" w:rsidDel="00000000" w:rsidP="00000000" w:rsidRDefault="00000000" w:rsidRPr="00000000" w14:paraId="0000000A">
      <w:pPr>
        <w:spacing w:after="0" w:line="240" w:lineRule="auto"/>
        <w:rPr/>
      </w:pPr>
      <w:hyperlink r:id="rId6">
        <w:r w:rsidDel="00000000" w:rsidR="00000000" w:rsidRPr="00000000">
          <w:rPr>
            <w:color w:val="0563c1"/>
            <w:u w:val="single"/>
            <w:rtl w:val="0"/>
          </w:rPr>
          <w:t xml:space="preserve">https://zoom.us/j/92714209110</w:t>
        </w:r>
      </w:hyperlink>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rPr/>
      </w:pPr>
      <w:r w:rsidDel="00000000" w:rsidR="00000000" w:rsidRPr="00000000">
        <w:rPr>
          <w:sz w:val="20"/>
          <w:szCs w:val="20"/>
          <w:rtl w:val="0"/>
        </w:rPr>
        <w:t xml:space="preserve">Webinar #:</w:t>
      </w:r>
      <w:r w:rsidDel="00000000" w:rsidR="00000000" w:rsidRPr="00000000">
        <w:rPr>
          <w:rFonts w:ascii="Calibri" w:cs="Calibri" w:eastAsia="Calibri" w:hAnsi="Calibri"/>
          <w:rtl w:val="0"/>
        </w:rPr>
        <w:t xml:space="preserve">927 1420 9110</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sz w:val="20"/>
          <w:szCs w:val="20"/>
          <w:rtl w:val="0"/>
        </w:rPr>
        <w:t xml:space="preserve">and then press # to join the meeting. Instructions on how to sign up for public comment will be given to listeners at the start of the meeting</w:t>
      </w:r>
      <w:r w:rsidDel="00000000" w:rsidR="00000000" w:rsidRPr="00000000">
        <w:rPr>
          <w:b w:val="1"/>
          <w:sz w:val="20"/>
          <w:szCs w:val="20"/>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Call to Order / Roll Call</w:t>
      </w:r>
    </w:p>
    <w:tbl>
      <w:tblPr>
        <w:tblStyle w:val="Table1"/>
        <w:tblW w:w="590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6"/>
        <w:gridCol w:w="1728"/>
        <w:tblGridChange w:id="0">
          <w:tblGrid>
            <w:gridCol w:w="4176"/>
            <w:gridCol w:w="1728"/>
          </w:tblGrid>
        </w:tblGridChange>
      </w:tblGrid>
      <w:tr>
        <w:trPr>
          <w:trHeight w:val="259" w:hRule="atLeast"/>
        </w:trPr>
        <w:tc>
          <w:tcPr>
            <w:tcBorders>
              <w:top w:color="000000" w:space="0" w:sz="12"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Tony Hoover – Chair</w:t>
            </w:r>
          </w:p>
        </w:tc>
        <w:tc>
          <w:tcPr>
            <w:tcBorders>
              <w:top w:color="000000" w:space="0" w:sz="12"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w:t>
            </w:r>
          </w:p>
        </w:tc>
      </w:tr>
      <w:tr>
        <w:trPr>
          <w:trHeight w:val="259" w:hRule="atLeast"/>
        </w:trPr>
        <w:tc>
          <w:tcPr>
            <w:tcBorders>
              <w:top w:color="000000" w:space="0" w:sz="4"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Patti Berman</w:t>
            </w:r>
          </w:p>
        </w:tc>
        <w:tc>
          <w:tcPr>
            <w:tcBorders>
              <w:top w:color="000000" w:space="0" w:sz="4"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w:t>
            </w:r>
          </w:p>
        </w:tc>
      </w:tr>
      <w:tr>
        <w:trPr>
          <w:trHeight w:val="259" w:hRule="atLeast"/>
        </w:trPr>
        <w:tc>
          <w:tcPr>
            <w:tcBorders>
              <w:top w:color="000000" w:space="0" w:sz="4" w:val="single"/>
              <w:left w:color="000000" w:space="0" w:sz="12" w:val="single"/>
              <w:bottom w:color="000000" w:space="0" w:sz="4" w:val="single"/>
              <w:right w:color="000000" w:space="0" w:sz="4" w:val="single"/>
            </w:tcBorders>
            <w:shd w:fill="auto" w:val="clear"/>
            <w:tcMar>
              <w:top w:w="0.0" w:type="dxa"/>
              <w:left w:w="115.0" w:type="dxa"/>
              <w:right w:w="115.0" w:type="dxa"/>
            </w:tcMar>
            <w:vAlign w:val="bottom"/>
          </w:tcPr>
          <w:p w:rsidR="00000000" w:rsidDel="00000000" w:rsidP="00000000" w:rsidRDefault="00000000" w:rsidRPr="00000000" w14:paraId="0000001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Reeyan Raynes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right w:w="115.0" w:type="dxa"/>
            </w:tcMar>
            <w:vAlign w:val="center"/>
          </w:tcPr>
          <w:p w:rsidR="00000000" w:rsidDel="00000000" w:rsidP="00000000" w:rsidRDefault="00000000" w:rsidRPr="00000000" w14:paraId="0000001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w:t>
            </w:r>
          </w:p>
        </w:tc>
      </w:tr>
      <w:tr>
        <w:trPr>
          <w:trHeight w:val="259" w:hRule="atLeast"/>
        </w:trPr>
        <w:tc>
          <w:tcPr>
            <w:tcBorders>
              <w:top w:color="000000" w:space="0" w:sz="4"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Claudia Oliveira</w:t>
            </w:r>
          </w:p>
        </w:tc>
        <w:tc>
          <w:tcPr>
            <w:tcBorders>
              <w:top w:color="000000" w:space="0" w:sz="4"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w:t>
            </w:r>
          </w:p>
        </w:tc>
      </w:tr>
      <w:tr>
        <w:trPr>
          <w:trHeight w:val="259" w:hRule="atLeast"/>
        </w:trPr>
        <w:tc>
          <w:tcPr>
            <w:tcBorders>
              <w:top w:color="000000" w:space="0" w:sz="4"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8">
            <w:pP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9">
            <w:pPr>
              <w:rPr>
                <w:rFonts w:ascii="Verdana" w:cs="Verdana" w:eastAsia="Verdana" w:hAnsi="Verdana"/>
                <w:sz w:val="21"/>
                <w:szCs w:val="21"/>
              </w:rPr>
            </w:pPr>
            <w:r w:rsidDel="00000000" w:rsidR="00000000" w:rsidRPr="00000000">
              <w:rPr>
                <w:rtl w:val="0"/>
              </w:rPr>
            </w:r>
          </w:p>
        </w:tc>
      </w:tr>
      <w:tr>
        <w:trPr>
          <w:trHeight w:val="259" w:hRule="atLeast"/>
        </w:trPr>
        <w:tc>
          <w:tcPr>
            <w:tcBorders>
              <w:top w:color="000000" w:space="0" w:sz="4" w:val="single"/>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1A">
            <w:pPr>
              <w:rPr>
                <w:rFonts w:ascii="Verdana" w:cs="Verdana" w:eastAsia="Verdana" w:hAnsi="Verdana"/>
                <w:sz w:val="18"/>
                <w:szCs w:val="18"/>
              </w:rPr>
            </w:pPr>
            <w:r w:rsidDel="00000000" w:rsidR="00000000" w:rsidRPr="00000000">
              <w:rPr>
                <w:rtl w:val="0"/>
              </w:rPr>
            </w:r>
          </w:p>
        </w:tc>
        <w:tc>
          <w:tcPr>
            <w:tcBorders>
              <w:top w:color="000000" w:space="0" w:sz="4" w:val="single"/>
              <w:bottom w:color="000000" w:space="0" w:sz="4" w:val="single"/>
            </w:tcBorders>
            <w:tcMar>
              <w:top w:w="0.0" w:type="dxa"/>
              <w:left w:w="115.0" w:type="dxa"/>
              <w:right w:w="115.0" w:type="dxa"/>
            </w:tcMar>
            <w:vAlign w:val="center"/>
          </w:tcPr>
          <w:p w:rsidR="00000000" w:rsidDel="00000000" w:rsidP="00000000" w:rsidRDefault="00000000" w:rsidRPr="00000000" w14:paraId="0000001B">
            <w:pPr>
              <w:rPr>
                <w:rFonts w:ascii="Verdana" w:cs="Verdana" w:eastAsia="Verdana" w:hAnsi="Verdana"/>
                <w:sz w:val="21"/>
                <w:szCs w:val="21"/>
              </w:rPr>
            </w:pPr>
            <w:r w:rsidDel="00000000" w:rsidR="00000000" w:rsidRPr="00000000">
              <w:rPr>
                <w:rtl w:val="0"/>
              </w:rPr>
            </w:r>
          </w:p>
        </w:tc>
      </w:tr>
      <w:tr>
        <w:trPr>
          <w:trHeight w:val="259"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1C">
            <w:pPr>
              <w:rPr>
                <w:rFonts w:ascii="Verdana" w:cs="Verdana" w:eastAsia="Verdana" w:hAnsi="Verdana"/>
                <w:sz w:val="21"/>
                <w:szCs w:val="21"/>
              </w:rPr>
            </w:pPr>
            <w:r w:rsidDel="00000000" w:rsidR="00000000" w:rsidRPr="00000000">
              <w:rPr>
                <w:rtl w:val="0"/>
              </w:rPr>
            </w:r>
          </w:p>
        </w:tc>
        <w:tc>
          <w:tcPr>
            <w:tcBorders>
              <w:bottom w:color="000000" w:space="0" w:sz="4" w:val="single"/>
            </w:tcBorders>
            <w:tcMar>
              <w:top w:w="0.0" w:type="dxa"/>
              <w:left w:w="115.0" w:type="dxa"/>
              <w:right w:w="115.0" w:type="dxa"/>
            </w:tcMar>
            <w:vAlign w:val="center"/>
          </w:tcPr>
          <w:p w:rsidR="00000000" w:rsidDel="00000000" w:rsidP="00000000" w:rsidRDefault="00000000" w:rsidRPr="00000000" w14:paraId="0000001D">
            <w:pPr>
              <w:rPr>
                <w:rFonts w:ascii="Verdana" w:cs="Verdana" w:eastAsia="Verdana" w:hAnsi="Verdana"/>
                <w:sz w:val="21"/>
                <w:szCs w:val="21"/>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General Public Comment: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Public comments are limited to two minutes per speaker with a total time of ten minutes. (The chair, depending on number of speakers and time considerations, may change these parameters.)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Approval of prior minutes </w:t>
      </w:r>
      <w:r w:rsidDel="00000000" w:rsidR="00000000" w:rsidRPr="00000000">
        <w:rPr>
          <w:sz w:val="21"/>
          <w:szCs w:val="21"/>
          <w:rtl w:val="0"/>
        </w:rPr>
        <w:t xml:space="preserve">Postponed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rPr>
          <w:sz w:val="21"/>
          <w:szCs w:val="21"/>
          <w:u w:val="single"/>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Old Business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26">
      <w:pPr>
        <w:rPr>
          <w:sz w:val="21"/>
          <w:szCs w:val="21"/>
          <w:u w:val="singl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Discussion and completion of recommendations for the 202-2021 budget</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Discussion and possible action on possible encumbered items.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1"/>
          <w:szCs w:val="21"/>
        </w:rPr>
      </w:pPr>
      <w:r w:rsidDel="00000000" w:rsidR="00000000" w:rsidRPr="00000000">
        <w:rPr>
          <w:sz w:val="21"/>
          <w:szCs w:val="21"/>
          <w:rtl w:val="0"/>
        </w:rPr>
        <w:t xml:space="preserve">Both a. and b. items were combined for discussion.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1"/>
          <w:szCs w:val="21"/>
        </w:rPr>
      </w:pPr>
      <w:r w:rsidDel="00000000" w:rsidR="00000000" w:rsidRPr="00000000">
        <w:rPr>
          <w:sz w:val="21"/>
          <w:szCs w:val="21"/>
          <w:rtl w:val="0"/>
        </w:rPr>
        <w:t xml:space="preserve">No objections, items a. and b. were affirmed.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General Public Comment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Public comments are limited to two minutes per speaker with a total time of ten minutes. (The chair, depending on number of speakers and time considerations, may change these parameters.)</w:t>
      </w:r>
    </w:p>
    <w:p w:rsidR="00000000" w:rsidDel="00000000" w:rsidP="00000000" w:rsidRDefault="00000000" w:rsidRPr="00000000" w14:paraId="00000030">
      <w:pPr>
        <w:spacing w:after="0" w:line="240" w:lineRule="auto"/>
        <w:rPr>
          <w:sz w:val="21"/>
          <w:szCs w:val="2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Other Committee Comments and Announcements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Next Meeting July 8, 2020 Set up a Joint meeting </w:t>
      </w:r>
    </w:p>
    <w:p w:rsidR="00000000" w:rsidDel="00000000" w:rsidP="00000000" w:rsidRDefault="00000000" w:rsidRPr="00000000" w14:paraId="00000034">
      <w:pPr>
        <w:spacing w:after="0" w:line="240" w:lineRule="auto"/>
        <w:rPr>
          <w:sz w:val="21"/>
          <w:szCs w:val="2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Adjourn 9:37 PM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rPr>
          <w:sz w:val="21"/>
          <w:szCs w:val="21"/>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before="273" w:line="276" w:lineRule="auto"/>
        <w:ind w:left="403"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THE AMERICAN WITH DISABILITIES ACT – </w:t>
      </w:r>
      <w:r w:rsidDel="00000000" w:rsidR="00000000" w:rsidRPr="00000000">
        <w:rPr>
          <w:rFonts w:ascii="Arial" w:cs="Arial" w:eastAsia="Arial" w:hAnsi="Arial"/>
          <w:sz w:val="16"/>
          <w:szCs w:val="16"/>
          <w:rtl w:val="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7">
        <w:r w:rsidDel="00000000" w:rsidR="00000000" w:rsidRPr="00000000">
          <w:rPr>
            <w:rFonts w:ascii="Arial" w:cs="Arial" w:eastAsia="Arial" w:hAnsi="Arial"/>
            <w:color w:val="0563c1"/>
            <w:sz w:val="16"/>
            <w:szCs w:val="16"/>
            <w:u w:val="single"/>
            <w:rtl w:val="0"/>
          </w:rPr>
          <w:t xml:space="preserve">NCsupport@lacity.org</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3A">
      <w:pPr>
        <w:spacing w:after="0" w:line="276" w:lineRule="auto"/>
        <w:ind w:left="720" w:hanging="270"/>
        <w:rPr>
          <w:rFonts w:ascii="Arial" w:cs="Arial" w:eastAsia="Arial" w:hAnsi="Arial"/>
          <w:sz w:val="16"/>
          <w:szCs w:val="16"/>
        </w:rPr>
      </w:pPr>
      <w:r w:rsidDel="00000000" w:rsidR="00000000" w:rsidRPr="00000000">
        <w:rPr>
          <w:rFonts w:ascii="Arial" w:cs="Arial" w:eastAsia="Arial" w:hAnsi="Arial"/>
          <w:b w:val="1"/>
          <w:sz w:val="16"/>
          <w:szCs w:val="16"/>
          <w:rtl w:val="0"/>
        </w:rPr>
        <w:t xml:space="preserve">PUBLIC ACCESS OF RECORDS</w:t>
      </w:r>
      <w:r w:rsidDel="00000000" w:rsidR="00000000" w:rsidRPr="00000000">
        <w:rPr>
          <w:rFonts w:ascii="Arial" w:cs="Arial" w:eastAsia="Arial" w:hAnsi="Arial"/>
          <w:sz w:val="16"/>
          <w:szCs w:val="16"/>
          <w:rtl w:val="0"/>
        </w:rPr>
        <w:t xml:space="preserve"> – In compliance with Government Code section 54957.5, non-exempt writings that are</w:t>
      </w:r>
    </w:p>
    <w:p w:rsidR="00000000" w:rsidDel="00000000" w:rsidP="00000000" w:rsidRDefault="00000000" w:rsidRPr="00000000" w14:paraId="0000003B">
      <w:pPr>
        <w:spacing w:after="0" w:line="276" w:lineRule="auto"/>
        <w:ind w:left="720" w:hanging="270"/>
        <w:rPr>
          <w:rFonts w:ascii="Arial" w:cs="Arial" w:eastAsia="Arial" w:hAnsi="Arial"/>
          <w:sz w:val="16"/>
          <w:szCs w:val="16"/>
        </w:rPr>
      </w:pPr>
      <w:r w:rsidDel="00000000" w:rsidR="00000000" w:rsidRPr="00000000">
        <w:rPr>
          <w:rFonts w:ascii="Arial" w:cs="Arial" w:eastAsia="Arial" w:hAnsi="Arial"/>
          <w:sz w:val="16"/>
          <w:szCs w:val="16"/>
          <w:rtl w:val="0"/>
        </w:rPr>
        <w:t xml:space="preserve">distributed to a majority or all of the board in advance of a meeting may be viewed at our website: www.dlanc.com.  </w:t>
      </w:r>
    </w:p>
    <w:p w:rsidR="00000000" w:rsidDel="00000000" w:rsidP="00000000" w:rsidRDefault="00000000" w:rsidRPr="00000000" w14:paraId="0000003C">
      <w:pPr>
        <w:spacing w:after="0" w:line="276" w:lineRule="auto"/>
        <w:ind w:left="720" w:hanging="270"/>
        <w:rPr>
          <w:rFonts w:ascii="Arial" w:cs="Arial" w:eastAsia="Arial" w:hAnsi="Arial"/>
          <w:sz w:val="16"/>
          <w:szCs w:val="16"/>
        </w:rPr>
      </w:pPr>
      <w:r w:rsidDel="00000000" w:rsidR="00000000" w:rsidRPr="00000000">
        <w:rPr>
          <w:rFonts w:ascii="Arial" w:cs="Arial" w:eastAsia="Arial" w:hAnsi="Arial"/>
          <w:sz w:val="16"/>
          <w:szCs w:val="16"/>
          <w:rtl w:val="0"/>
        </w:rPr>
        <w:t xml:space="preserve">In addition, if you would like a copy of any record related to an item on the agenda, please contact the secretary, claudia.oliveira@dlanc.com</w:t>
      </w:r>
    </w:p>
    <w:p w:rsidR="00000000" w:rsidDel="00000000" w:rsidP="00000000" w:rsidRDefault="00000000" w:rsidRPr="00000000" w14:paraId="0000003D">
      <w:pPr>
        <w:spacing w:after="0" w:line="276" w:lineRule="auto"/>
        <w:ind w:left="720" w:hanging="27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spacing w:line="276" w:lineRule="auto"/>
        <w:ind w:left="720" w:hanging="27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PUBLIC POSTING OF AGENDAS</w:t>
      </w:r>
      <w:r w:rsidDel="00000000" w:rsidR="00000000" w:rsidRPr="00000000">
        <w:rPr>
          <w:rFonts w:ascii="Arial" w:cs="Arial" w:eastAsia="Arial" w:hAnsi="Arial"/>
          <w:sz w:val="16"/>
          <w:szCs w:val="16"/>
          <w:rtl w:val="0"/>
        </w:rPr>
        <w:t xml:space="preserve"> – Neighborhood Council agendas are posted for public review as follows:</w:t>
      </w:r>
    </w:p>
    <w:p w:rsidR="00000000" w:rsidDel="00000000" w:rsidP="00000000" w:rsidRDefault="00000000" w:rsidRPr="00000000" w14:paraId="0000003F">
      <w:pPr>
        <w:widowControl w:val="0"/>
        <w:numPr>
          <w:ilvl w:val="0"/>
          <w:numId w:val="1"/>
        </w:numPr>
        <w:spacing w:after="0" w:line="276" w:lineRule="auto"/>
        <w:ind w:left="144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Palace Theatre, 630 S. Broadway</w:t>
      </w:r>
    </w:p>
    <w:p w:rsidR="00000000" w:rsidDel="00000000" w:rsidP="00000000" w:rsidRDefault="00000000" w:rsidRPr="00000000" w14:paraId="00000040">
      <w:pPr>
        <w:widowControl w:val="0"/>
        <w:numPr>
          <w:ilvl w:val="0"/>
          <w:numId w:val="1"/>
        </w:numPr>
        <w:spacing w:after="0" w:line="276" w:lineRule="auto"/>
        <w:ind w:left="1440" w:hanging="360"/>
        <w:jc w:val="both"/>
        <w:rPr>
          <w:rFonts w:ascii="Arial" w:cs="Arial" w:eastAsia="Arial" w:hAnsi="Arial"/>
          <w:sz w:val="16"/>
          <w:szCs w:val="16"/>
        </w:rPr>
      </w:pPr>
      <w:r w:rsidDel="00000000" w:rsidR="00000000" w:rsidRPr="00000000">
        <w:rPr>
          <w:sz w:val="16"/>
          <w:szCs w:val="16"/>
          <w:rtl w:val="0"/>
        </w:rPr>
        <w:t xml:space="preserve">Our website: </w:t>
      </w:r>
      <w:hyperlink r:id="rId8">
        <w:r w:rsidDel="00000000" w:rsidR="00000000" w:rsidRPr="00000000">
          <w:rPr>
            <w:rFonts w:ascii="Arial" w:cs="Arial" w:eastAsia="Arial" w:hAnsi="Arial"/>
            <w:color w:val="0563c1"/>
            <w:sz w:val="16"/>
            <w:szCs w:val="16"/>
            <w:u w:val="single"/>
            <w:rtl w:val="0"/>
          </w:rPr>
          <w:t xml:space="preserve">www.dlanc.com</w:t>
        </w:r>
      </w:hyperlink>
      <w:r w:rsidDel="00000000" w:rsidR="00000000" w:rsidRPr="00000000">
        <w:rPr>
          <w:rtl w:val="0"/>
        </w:rPr>
      </w:r>
    </w:p>
    <w:p w:rsidR="00000000" w:rsidDel="00000000" w:rsidP="00000000" w:rsidRDefault="00000000" w:rsidRPr="00000000" w14:paraId="00000041">
      <w:pPr>
        <w:widowControl w:val="0"/>
        <w:numPr>
          <w:ilvl w:val="0"/>
          <w:numId w:val="1"/>
        </w:numPr>
        <w:spacing w:after="0" w:line="276" w:lineRule="auto"/>
        <w:ind w:left="144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You can also receive our agendas via email by subscribing to L.A. City’s Early Notification System at https://www.lacity.org/subscriptions </w:t>
      </w:r>
    </w:p>
    <w:p w:rsidR="00000000" w:rsidDel="00000000" w:rsidP="00000000" w:rsidRDefault="00000000" w:rsidRPr="00000000" w14:paraId="00000042">
      <w:pPr>
        <w:spacing w:line="276" w:lineRule="auto"/>
        <w:ind w:left="144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spacing w:after="0" w:line="276" w:lineRule="auto"/>
        <w:ind w:left="720" w:hanging="27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RECONSIDERATION AND GRIEVANCE PROCESS</w:t>
      </w:r>
      <w:r w:rsidDel="00000000" w:rsidR="00000000" w:rsidRPr="00000000">
        <w:rPr>
          <w:rFonts w:ascii="Arial" w:cs="Arial" w:eastAsia="Arial" w:hAnsi="Arial"/>
          <w:sz w:val="16"/>
          <w:szCs w:val="16"/>
          <w:rtl w:val="0"/>
        </w:rPr>
        <w:t xml:space="preserve"> - For information on the NC’s process for board action</w:t>
      </w:r>
    </w:p>
    <w:p w:rsidR="00000000" w:rsidDel="00000000" w:rsidP="00000000" w:rsidRDefault="00000000" w:rsidRPr="00000000" w14:paraId="00000044">
      <w:pPr>
        <w:spacing w:after="0" w:line="276" w:lineRule="auto"/>
        <w:ind w:left="720" w:hanging="27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reconsideration, stakeholder grievance policy, or any other procedural matters related to this Council, please consult the</w:t>
      </w:r>
    </w:p>
    <w:p w:rsidR="00000000" w:rsidDel="00000000" w:rsidP="00000000" w:rsidRDefault="00000000" w:rsidRPr="00000000" w14:paraId="00000045">
      <w:pPr>
        <w:spacing w:after="0" w:line="276" w:lineRule="auto"/>
        <w:ind w:left="720" w:hanging="270"/>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NC Bylaws. The Bylaws are available at our Board meetings and our website www.dlanc.com.</w:t>
      </w:r>
      <w:r w:rsidDel="00000000" w:rsidR="00000000" w:rsidRPr="00000000">
        <w:rPr>
          <w:rFonts w:ascii="Arial" w:cs="Arial" w:eastAsia="Arial" w:hAnsi="Arial"/>
          <w:sz w:val="16"/>
          <w:szCs w:val="16"/>
          <w:highlight w:val="yellow"/>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headerReference r:id="rId9" w:type="first"/>
      <w:footerReference r:id="rId10" w:type="first"/>
      <w:pgSz w:h="15840" w:w="12240"/>
      <w:pgMar w:bottom="108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SPECIAL 24-HOUR BUDGET AND FUNDING COMMITTEE </w:t>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-257174</wp:posOffset>
          </wp:positionV>
          <wp:extent cx="1911096" cy="1152144"/>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11364" l="0" r="0" t="0"/>
                  <a:stretch>
                    <a:fillRect/>
                  </a:stretch>
                </pic:blipFill>
                <pic:spPr>
                  <a:xfrm>
                    <a:off x="0" y="0"/>
                    <a:ext cx="1911096" cy="1152144"/>
                  </a:xfrm>
                  <a:prstGeom prst="rect"/>
                  <a:ln/>
                </pic:spPr>
              </pic:pic>
            </a:graphicData>
          </a:graphic>
        </wp:anchor>
      </w:draw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MEETING AGENDA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zoom.us/j/92714209110" TargetMode="External"/><Relationship Id="rId7" Type="http://schemas.openxmlformats.org/officeDocument/2006/relationships/hyperlink" Target="mailto:NCsupport@lacity.org" TargetMode="External"/><Relationship Id="rId8" Type="http://schemas.openxmlformats.org/officeDocument/2006/relationships/hyperlink" Target="http://www.dla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